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F933">
      <w:pPr>
        <w:pStyle w:val="2"/>
        <w:rPr>
          <w:rFonts w:cs="Arial"/>
          <w:b w:val="0"/>
          <w:bCs w:val="0"/>
          <w:sz w:val="40"/>
          <w:szCs w:val="40"/>
        </w:rPr>
      </w:pPr>
      <w:bookmarkStart w:id="0" w:name="_GoBack"/>
      <w:bookmarkEnd w:id="0"/>
      <w:r>
        <w:rPr>
          <w:rFonts w:cs="Arial"/>
          <w:sz w:val="40"/>
          <w:szCs w:val="40"/>
        </w:rPr>
        <w:t>ACC384 - Additional Assessment</w:t>
      </w:r>
    </w:p>
    <w:p w14:paraId="5E34F934">
      <w:pPr>
        <w:pStyle w:val="3"/>
        <w:spacing w:before="64"/>
        <w:ind w:left="119" w:right="3214"/>
        <w:rPr>
          <w:rFonts w:ascii="Arial" w:hAnsi="Arial" w:cs="Arial"/>
          <w:b w:val="0"/>
          <w:bCs w:val="0"/>
          <w:sz w:val="24"/>
          <w:szCs w:val="24"/>
        </w:rPr>
      </w:pPr>
      <w:r>
        <w:rPr>
          <w:rFonts w:ascii="Arial" w:hAnsi="Arial" w:cs="Arial"/>
          <w:sz w:val="24"/>
          <w:szCs w:val="24"/>
        </w:rPr>
        <w:t>Graduate report on IFRS</w:t>
      </w:r>
      <w:r>
        <w:rPr>
          <w:rFonts w:ascii="Arial" w:hAnsi="Arial" w:cs="Arial"/>
          <w:w w:val="99"/>
          <w:sz w:val="24"/>
          <w:szCs w:val="24"/>
        </w:rPr>
        <w:br w:type="textWrapping"/>
      </w:r>
      <w:r>
        <w:rPr>
          <w:rFonts w:ascii="Arial" w:hAnsi="Arial" w:cs="Arial"/>
          <w:sz w:val="24"/>
          <w:szCs w:val="24"/>
        </w:rPr>
        <w:t>Value:</w:t>
      </w:r>
      <w:r>
        <w:rPr>
          <w:rFonts w:ascii="Arial" w:hAnsi="Arial" w:cs="Arial"/>
          <w:spacing w:val="-11"/>
          <w:sz w:val="24"/>
          <w:szCs w:val="24"/>
        </w:rPr>
        <w:t xml:space="preserve"> </w:t>
      </w:r>
      <w:r>
        <w:rPr>
          <w:rFonts w:ascii="Arial" w:hAnsi="Arial" w:cs="Arial"/>
          <w:b w:val="0"/>
          <w:sz w:val="24"/>
          <w:szCs w:val="24"/>
        </w:rPr>
        <w:t>Pass/ Fail</w:t>
      </w:r>
    </w:p>
    <w:p w14:paraId="5E34F935">
      <w:pPr>
        <w:ind w:left="119"/>
        <w:rPr>
          <w:rFonts w:ascii="Arial" w:hAnsi="Arial" w:eastAsia="Times New Roman" w:cs="Arial"/>
          <w:sz w:val="24"/>
          <w:szCs w:val="24"/>
        </w:rPr>
      </w:pPr>
      <w:r>
        <w:rPr>
          <w:rFonts w:ascii="Arial" w:hAnsi="Arial" w:cs="Arial"/>
          <w:b/>
          <w:sz w:val="24"/>
          <w:szCs w:val="24"/>
        </w:rPr>
        <w:t>Due</w:t>
      </w:r>
      <w:r>
        <w:rPr>
          <w:rFonts w:ascii="Arial" w:hAnsi="Arial" w:cs="Arial"/>
          <w:b/>
          <w:spacing w:val="-12"/>
          <w:sz w:val="24"/>
          <w:szCs w:val="24"/>
        </w:rPr>
        <w:t xml:space="preserve"> </w:t>
      </w:r>
      <w:r>
        <w:rPr>
          <w:rFonts w:ascii="Arial" w:hAnsi="Arial" w:cs="Arial"/>
          <w:b/>
          <w:sz w:val="24"/>
          <w:szCs w:val="24"/>
        </w:rPr>
        <w:t>date:</w:t>
      </w:r>
      <w:r>
        <w:rPr>
          <w:rFonts w:ascii="Arial" w:hAnsi="Arial" w:cs="Arial"/>
          <w:bCs/>
          <w:spacing w:val="-10"/>
          <w:sz w:val="24"/>
          <w:szCs w:val="24"/>
        </w:rPr>
        <w:t xml:space="preserve"> 24</w:t>
      </w:r>
      <w:r>
        <w:rPr>
          <w:rFonts w:ascii="Arial" w:hAnsi="Arial" w:cs="Arial"/>
          <w:bCs/>
          <w:spacing w:val="-10"/>
          <w:sz w:val="24"/>
          <w:szCs w:val="24"/>
          <w:vertAlign w:val="superscript"/>
        </w:rPr>
        <w:t>th</w:t>
      </w:r>
      <w:r>
        <w:rPr>
          <w:rFonts w:ascii="Arial" w:hAnsi="Arial" w:cs="Arial"/>
          <w:bCs/>
          <w:spacing w:val="-10"/>
          <w:sz w:val="24"/>
          <w:szCs w:val="24"/>
        </w:rPr>
        <w:t xml:space="preserve"> June, 2025</w:t>
      </w:r>
    </w:p>
    <w:p w14:paraId="5E34F936">
      <w:pPr>
        <w:pStyle w:val="5"/>
        <w:ind w:left="119"/>
        <w:rPr>
          <w:rFonts w:ascii="Arial" w:hAnsi="Arial" w:cs="Arial"/>
          <w:sz w:val="24"/>
          <w:szCs w:val="24"/>
        </w:rPr>
      </w:pPr>
      <w:r>
        <w:rPr>
          <w:rFonts w:ascii="Arial" w:hAnsi="Arial" w:cs="Arial"/>
          <w:b/>
          <w:sz w:val="24"/>
          <w:szCs w:val="24"/>
        </w:rPr>
        <w:t>Length:</w:t>
      </w:r>
      <w:r>
        <w:rPr>
          <w:rFonts w:ascii="Arial" w:hAnsi="Arial" w:cs="Arial"/>
          <w:spacing w:val="-5"/>
          <w:sz w:val="24"/>
          <w:szCs w:val="24"/>
        </w:rPr>
        <w:t xml:space="preserve"> 3</w:t>
      </w:r>
      <w:r>
        <w:rPr>
          <w:rFonts w:ascii="Arial" w:hAnsi="Arial" w:cs="Arial"/>
          <w:sz w:val="24"/>
          <w:szCs w:val="24"/>
        </w:rPr>
        <w:t>,000 words – see ‘</w:t>
      </w:r>
      <w:r>
        <w:rPr>
          <w:rFonts w:ascii="Arial" w:hAnsi="Arial" w:cs="Arial"/>
          <w:b/>
          <w:sz w:val="24"/>
          <w:szCs w:val="24"/>
        </w:rPr>
        <w:t>Presentation</w:t>
      </w:r>
      <w:r>
        <w:rPr>
          <w:rFonts w:ascii="Arial" w:hAnsi="Arial" w:cs="Arial"/>
          <w:sz w:val="24"/>
          <w:szCs w:val="24"/>
        </w:rPr>
        <w:t>’ for details</w:t>
      </w:r>
    </w:p>
    <w:p w14:paraId="5E34F937">
      <w:pPr>
        <w:pStyle w:val="3"/>
        <w:ind w:left="119"/>
        <w:rPr>
          <w:rFonts w:ascii="Arial" w:hAnsi="Arial" w:cs="Arial"/>
          <w:b w:val="0"/>
          <w:bCs w:val="0"/>
          <w:sz w:val="24"/>
          <w:szCs w:val="24"/>
        </w:rPr>
      </w:pPr>
      <w:r>
        <w:rPr>
          <w:rFonts w:ascii="Arial" w:hAnsi="Arial" w:cs="Arial"/>
          <w:sz w:val="24"/>
          <w:szCs w:val="24"/>
        </w:rPr>
        <w:t>Submission</w:t>
      </w:r>
      <w:r>
        <w:rPr>
          <w:rFonts w:ascii="Arial" w:hAnsi="Arial" w:cs="Arial"/>
          <w:spacing w:val="-1"/>
          <w:sz w:val="24"/>
          <w:szCs w:val="24"/>
        </w:rPr>
        <w:t xml:space="preserve"> </w:t>
      </w:r>
      <w:r>
        <w:rPr>
          <w:rFonts w:ascii="Arial" w:hAnsi="Arial" w:cs="Arial"/>
          <w:sz w:val="24"/>
          <w:szCs w:val="24"/>
        </w:rPr>
        <w:t>method:</w:t>
      </w:r>
      <w:r>
        <w:rPr>
          <w:rFonts w:ascii="Arial" w:hAnsi="Arial" w:cs="Arial"/>
          <w:b w:val="0"/>
          <w:sz w:val="24"/>
          <w:szCs w:val="24"/>
        </w:rPr>
        <w:t xml:space="preserve"> email: </w:t>
      </w:r>
      <w:r>
        <w:fldChar w:fldCharType="begin"/>
      </w:r>
      <w:r>
        <w:instrText xml:space="preserve"> HYPERLINK "mailto:FOBJBS-Subject-Admin@csu.edu.au" </w:instrText>
      </w:r>
      <w:r>
        <w:fldChar w:fldCharType="separate"/>
      </w:r>
      <w:r>
        <w:rPr>
          <w:rStyle w:val="14"/>
          <w:rFonts w:ascii="Arial" w:hAnsi="Arial" w:cs="Arial"/>
          <w:b w:val="0"/>
          <w:bCs w:val="0"/>
          <w:sz w:val="24"/>
          <w:szCs w:val="24"/>
        </w:rPr>
        <w:t>FOBJBS-Subject-Admin@csu.edu.au</w:t>
      </w:r>
      <w:r>
        <w:rPr>
          <w:rStyle w:val="14"/>
          <w:rFonts w:ascii="Arial" w:hAnsi="Arial" w:cs="Arial"/>
          <w:b w:val="0"/>
          <w:bCs w:val="0"/>
          <w:sz w:val="24"/>
          <w:szCs w:val="24"/>
        </w:rPr>
        <w:fldChar w:fldCharType="end"/>
      </w:r>
      <w:r>
        <w:rPr>
          <w:rFonts w:ascii="Arial" w:hAnsi="Arial" w:cs="Arial"/>
          <w:b w:val="0"/>
          <w:bCs w:val="0"/>
          <w:sz w:val="24"/>
          <w:szCs w:val="24"/>
        </w:rPr>
        <w:t xml:space="preserve"> </w:t>
      </w:r>
      <w:r>
        <w:rPr>
          <w:rFonts w:ascii="Arial" w:hAnsi="Arial" w:cs="Arial"/>
          <w:sz w:val="24"/>
          <w:szCs w:val="24"/>
        </w:rPr>
        <w:br w:type="textWrapping"/>
      </w:r>
      <w:r>
        <w:rPr>
          <w:rFonts w:ascii="Arial" w:hAnsi="Arial" w:cs="Arial"/>
          <w:sz w:val="24"/>
          <w:szCs w:val="24"/>
        </w:rPr>
        <w:t xml:space="preserve">Questions: Contact Emmett Berry: </w:t>
      </w:r>
      <w:r>
        <w:fldChar w:fldCharType="begin"/>
      </w:r>
      <w:r>
        <w:instrText xml:space="preserve"> HYPERLINK "mailto:eberry@csu.edu.au" </w:instrText>
      </w:r>
      <w:r>
        <w:fldChar w:fldCharType="separate"/>
      </w:r>
      <w:r>
        <w:rPr>
          <w:rStyle w:val="14"/>
          <w:rFonts w:ascii="Arial" w:hAnsi="Arial" w:cs="Arial"/>
          <w:b w:val="0"/>
          <w:bCs w:val="0"/>
          <w:sz w:val="24"/>
          <w:szCs w:val="24"/>
        </w:rPr>
        <w:t>eberry@csu.edu.au</w:t>
      </w:r>
      <w:r>
        <w:rPr>
          <w:rStyle w:val="14"/>
          <w:rFonts w:ascii="Arial" w:hAnsi="Arial" w:cs="Arial"/>
          <w:b w:val="0"/>
          <w:bCs w:val="0"/>
          <w:sz w:val="24"/>
          <w:szCs w:val="24"/>
        </w:rPr>
        <w:fldChar w:fldCharType="end"/>
      </w:r>
      <w:r>
        <w:rPr>
          <w:rFonts w:ascii="Arial" w:hAnsi="Arial" w:cs="Arial"/>
          <w:b w:val="0"/>
          <w:bCs w:val="0"/>
          <w:sz w:val="24"/>
          <w:szCs w:val="24"/>
        </w:rPr>
        <w:t xml:space="preserve"> </w:t>
      </w:r>
    </w:p>
    <w:p w14:paraId="5E34F938">
      <w:pPr>
        <w:spacing w:before="5"/>
        <w:rPr>
          <w:rFonts w:ascii="Arial" w:hAnsi="Arial" w:eastAsia="Times New Roman" w:cs="Arial"/>
          <w:sz w:val="24"/>
          <w:szCs w:val="24"/>
        </w:rPr>
      </w:pPr>
    </w:p>
    <w:p w14:paraId="5E34F939">
      <w:pPr>
        <w:ind w:left="117"/>
        <w:rPr>
          <w:rFonts w:ascii="Arial" w:hAnsi="Arial" w:eastAsia="Arial" w:cs="Arial"/>
          <w:sz w:val="32"/>
          <w:szCs w:val="32"/>
        </w:rPr>
      </w:pPr>
      <w:r>
        <w:rPr>
          <w:rFonts w:ascii="Arial" w:hAnsi="Arial" w:cs="Arial"/>
          <w:b/>
          <w:sz w:val="32"/>
          <w:szCs w:val="32"/>
        </w:rPr>
        <w:t>Task</w:t>
      </w:r>
    </w:p>
    <w:p w14:paraId="5E34F93A">
      <w:pPr>
        <w:pStyle w:val="8"/>
        <w:spacing w:before="157" w:beforeAutospacing="0" w:after="0" w:afterAutospacing="0"/>
        <w:ind w:left="30" w:right="179"/>
        <w:rPr>
          <w:rFonts w:ascii="Arial" w:hAnsi="Arial" w:cs="Arial"/>
          <w:sz w:val="22"/>
          <w:szCs w:val="22"/>
        </w:rPr>
      </w:pPr>
      <w:r>
        <w:rPr>
          <w:rFonts w:ascii="Arial" w:hAnsi="Arial" w:cs="Arial"/>
          <w:sz w:val="22"/>
          <w:szCs w:val="22"/>
        </w:rPr>
        <w:t>You are a financial accountant working for the large accounting firm XYZ Ltd. The company operates in the Australia and is listed on the Australia Stock Exchange. They specialise in two service areas: </w:t>
      </w:r>
    </w:p>
    <w:p w14:paraId="5E34F93B">
      <w:pPr>
        <w:pStyle w:val="8"/>
        <w:spacing w:before="157" w:beforeAutospacing="0" w:after="0" w:afterAutospacing="0"/>
        <w:ind w:left="720" w:right="179"/>
        <w:rPr>
          <w:rFonts w:ascii="Arial" w:hAnsi="Arial" w:cs="Arial"/>
          <w:sz w:val="22"/>
          <w:szCs w:val="22"/>
        </w:rPr>
      </w:pPr>
      <w:r>
        <w:rPr>
          <w:rFonts w:ascii="Arial" w:hAnsi="Arial" w:cs="Arial"/>
          <w:sz w:val="22"/>
          <w:szCs w:val="22"/>
        </w:rPr>
        <w:t>1. General purpose financial statement preparation; and</w:t>
      </w:r>
      <w:r>
        <w:rPr>
          <w:rFonts w:ascii="Arial" w:hAnsi="Arial" w:cs="Arial"/>
          <w:sz w:val="22"/>
          <w:szCs w:val="22"/>
        </w:rPr>
        <w:br w:type="textWrapping"/>
      </w:r>
      <w:r>
        <w:rPr>
          <w:rFonts w:ascii="Arial" w:hAnsi="Arial" w:cs="Arial"/>
          <w:sz w:val="22"/>
          <w:szCs w:val="22"/>
        </w:rPr>
        <w:t>2. Auditing financial statements.</w:t>
      </w:r>
    </w:p>
    <w:p w14:paraId="5E34F93C">
      <w:pPr>
        <w:pStyle w:val="8"/>
        <w:spacing w:before="157" w:beforeAutospacing="0" w:after="0" w:afterAutospacing="0"/>
        <w:ind w:left="30" w:right="179"/>
        <w:rPr>
          <w:rFonts w:ascii="Arial" w:hAnsi="Arial" w:cs="Arial"/>
          <w:sz w:val="22"/>
          <w:szCs w:val="22"/>
        </w:rPr>
      </w:pPr>
      <w:r>
        <w:rPr>
          <w:rFonts w:ascii="Arial" w:hAnsi="Arial" w:cs="Arial"/>
          <w:sz w:val="22"/>
          <w:szCs w:val="22"/>
        </w:rPr>
        <w:t>You have been asked by your supervisor to prepare a report which includes a discussion on International Financial Reporting Standards (IFRS). The report will be read by employees joining the firm during the next annual graduate intake so they are better prepared for their new roles.</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To keep the report succinct, limit the discussion by focusing on the following four (4) accounts that your supervisor believes are most significant for a graduate accountant:</w:t>
      </w:r>
      <w:r>
        <w:rPr>
          <w:rFonts w:ascii="Arial" w:hAnsi="Arial" w:cs="Arial"/>
          <w:sz w:val="22"/>
          <w:szCs w:val="22"/>
        </w:rPr>
        <w:br w:type="textWrapping"/>
      </w:r>
    </w:p>
    <w:p w14:paraId="5E34F93D">
      <w:pPr>
        <w:pStyle w:val="24"/>
        <w:numPr>
          <w:ilvl w:val="0"/>
          <w:numId w:val="1"/>
        </w:numPr>
        <w:tabs>
          <w:tab w:val="left" w:pos="2179"/>
        </w:tabs>
        <w:spacing w:after="160" w:line="259" w:lineRule="auto"/>
        <w:rPr>
          <w:rFonts w:ascii="Arial" w:hAnsi="Arial" w:cs="Arial"/>
          <w:sz w:val="22"/>
          <w:szCs w:val="22"/>
        </w:rPr>
      </w:pPr>
      <w:r>
        <w:rPr>
          <w:rFonts w:ascii="Arial" w:hAnsi="Arial" w:cs="Arial"/>
          <w:sz w:val="22"/>
          <w:szCs w:val="22"/>
        </w:rPr>
        <w:t xml:space="preserve">Inventories; </w:t>
      </w:r>
    </w:p>
    <w:p w14:paraId="5E34F93E">
      <w:pPr>
        <w:pStyle w:val="24"/>
        <w:numPr>
          <w:ilvl w:val="0"/>
          <w:numId w:val="1"/>
        </w:numPr>
        <w:tabs>
          <w:tab w:val="left" w:pos="2179"/>
        </w:tabs>
        <w:spacing w:after="160" w:line="259" w:lineRule="auto"/>
        <w:rPr>
          <w:rFonts w:ascii="Arial" w:hAnsi="Arial" w:cs="Arial"/>
          <w:sz w:val="22"/>
          <w:szCs w:val="22"/>
        </w:rPr>
      </w:pPr>
      <w:r>
        <w:rPr>
          <w:rFonts w:ascii="Arial" w:hAnsi="Arial" w:cs="Arial"/>
          <w:sz w:val="22"/>
          <w:szCs w:val="22"/>
        </w:rPr>
        <w:t xml:space="preserve">Property, plant, and equipment; </w:t>
      </w:r>
    </w:p>
    <w:p w14:paraId="5E34F93F">
      <w:pPr>
        <w:pStyle w:val="24"/>
        <w:numPr>
          <w:ilvl w:val="0"/>
          <w:numId w:val="1"/>
        </w:numPr>
        <w:tabs>
          <w:tab w:val="left" w:pos="2179"/>
        </w:tabs>
        <w:spacing w:after="160" w:line="259" w:lineRule="auto"/>
        <w:rPr>
          <w:rFonts w:ascii="Arial" w:hAnsi="Arial" w:cs="Arial"/>
          <w:sz w:val="22"/>
          <w:szCs w:val="22"/>
        </w:rPr>
      </w:pPr>
      <w:r>
        <w:rPr>
          <w:rFonts w:ascii="Arial" w:hAnsi="Arial" w:cs="Arial"/>
          <w:sz w:val="22"/>
          <w:szCs w:val="22"/>
        </w:rPr>
        <w:t xml:space="preserve">Employee benefits; and </w:t>
      </w:r>
    </w:p>
    <w:p w14:paraId="5E34F940">
      <w:pPr>
        <w:pStyle w:val="24"/>
        <w:numPr>
          <w:ilvl w:val="0"/>
          <w:numId w:val="1"/>
        </w:numPr>
        <w:tabs>
          <w:tab w:val="left" w:pos="2179"/>
        </w:tabs>
        <w:spacing w:after="160" w:line="259" w:lineRule="auto"/>
        <w:rPr>
          <w:rFonts w:ascii="Arial" w:hAnsi="Arial" w:cs="Arial"/>
          <w:sz w:val="22"/>
          <w:szCs w:val="22"/>
        </w:rPr>
      </w:pPr>
      <w:r>
        <w:rPr>
          <w:rFonts w:ascii="Arial" w:hAnsi="Arial" w:cs="Arial"/>
          <w:sz w:val="22"/>
          <w:szCs w:val="22"/>
        </w:rPr>
        <w:t>Share-based payments.</w:t>
      </w:r>
    </w:p>
    <w:p w14:paraId="5E34F941">
      <w:pPr>
        <w:pStyle w:val="8"/>
        <w:spacing w:before="0" w:beforeAutospacing="0" w:after="0" w:afterAutospacing="0"/>
        <w:ind w:left="30"/>
        <w:rPr>
          <w:rFonts w:ascii="Arial" w:hAnsi="Arial" w:cs="Arial"/>
          <w:sz w:val="22"/>
          <w:szCs w:val="22"/>
        </w:rPr>
      </w:pPr>
      <w:r>
        <w:rPr>
          <w:rFonts w:ascii="Arial" w:hAnsi="Arial" w:cs="Arial"/>
          <w:sz w:val="22"/>
          <w:szCs w:val="22"/>
        </w:rPr>
        <w:t>You are to structure your report in the following format:</w:t>
      </w:r>
    </w:p>
    <w:p w14:paraId="5E34F942">
      <w:pPr>
        <w:pStyle w:val="8"/>
        <w:spacing w:before="6" w:beforeAutospacing="0" w:after="160" w:afterAutospacing="0"/>
        <w:rPr>
          <w:rFonts w:ascii="Arial" w:hAnsi="Arial" w:cs="Arial"/>
          <w:sz w:val="22"/>
          <w:szCs w:val="22"/>
        </w:rPr>
      </w:pPr>
      <w:r>
        <w:rPr>
          <w:rFonts w:ascii="Arial" w:hAnsi="Arial" w:cs="Arial"/>
          <w:sz w:val="22"/>
          <w:szCs w:val="22"/>
        </w:rPr>
        <w:br w:type="textWrapping"/>
      </w:r>
      <w:r>
        <w:rPr>
          <w:rStyle w:val="11"/>
          <w:rFonts w:ascii="Arial" w:hAnsi="Arial" w:cs="Arial"/>
          <w:sz w:val="22"/>
          <w:szCs w:val="22"/>
        </w:rPr>
        <w:t>1. </w:t>
      </w:r>
      <w:r>
        <w:rPr>
          <w:rStyle w:val="11"/>
          <w:rFonts w:ascii="Arial" w:hAnsi="Arial" w:cs="Arial"/>
          <w:sz w:val="22"/>
          <w:szCs w:val="22"/>
          <w:u w:val="single"/>
        </w:rPr>
        <w:t>Executive summary</w:t>
      </w:r>
      <w:r>
        <w:rPr>
          <w:rFonts w:ascii="Arial" w:hAnsi="Arial" w:cs="Arial"/>
          <w:sz w:val="22"/>
          <w:szCs w:val="22"/>
        </w:rPr>
        <w:br w:type="textWrapping"/>
      </w:r>
      <w:r>
        <w:rPr>
          <w:rFonts w:ascii="Arial" w:hAnsi="Arial" w:cs="Arial"/>
          <w:sz w:val="22"/>
          <w:szCs w:val="22"/>
        </w:rPr>
        <w:t>Include, in paragraph form, a summary of:</w:t>
      </w:r>
    </w:p>
    <w:p w14:paraId="5E34F943">
      <w:pPr>
        <w:widowControl/>
        <w:numPr>
          <w:ilvl w:val="0"/>
          <w:numId w:val="2"/>
        </w:numPr>
        <w:spacing w:before="100" w:beforeAutospacing="1" w:after="100" w:afterAutospacing="1"/>
        <w:rPr>
          <w:rFonts w:ascii="Arial" w:hAnsi="Arial" w:cs="Arial"/>
        </w:rPr>
      </w:pPr>
      <w:r>
        <w:rPr>
          <w:rFonts w:ascii="Arial" w:hAnsi="Arial" w:cs="Arial"/>
        </w:rPr>
        <w:t>the purpose of the report (why it was written);</w:t>
      </w:r>
    </w:p>
    <w:p w14:paraId="5E34F944">
      <w:pPr>
        <w:widowControl/>
        <w:numPr>
          <w:ilvl w:val="0"/>
          <w:numId w:val="2"/>
        </w:numPr>
        <w:spacing w:before="100" w:beforeAutospacing="1" w:after="100" w:afterAutospacing="1"/>
        <w:rPr>
          <w:rFonts w:ascii="Arial" w:hAnsi="Arial" w:cs="Arial"/>
        </w:rPr>
      </w:pPr>
      <w:r>
        <w:rPr>
          <w:rFonts w:ascii="Arial" w:hAnsi="Arial" w:cs="Arial"/>
        </w:rPr>
        <w:t>how it was researched;</w:t>
      </w:r>
    </w:p>
    <w:p w14:paraId="5E34F945">
      <w:pPr>
        <w:widowControl/>
        <w:numPr>
          <w:ilvl w:val="0"/>
          <w:numId w:val="2"/>
        </w:numPr>
        <w:spacing w:before="100" w:beforeAutospacing="1" w:after="100" w:afterAutospacing="1"/>
        <w:rPr>
          <w:rFonts w:ascii="Arial" w:hAnsi="Arial" w:cs="Arial"/>
        </w:rPr>
      </w:pPr>
      <w:r>
        <w:rPr>
          <w:rFonts w:ascii="Arial" w:hAnsi="Arial" w:cs="Arial"/>
        </w:rPr>
        <w:t>what you found out, such as each IFRS account’s purpose and differences to United States Generally Accepted Accounting Principles (U.S. GAAP); and</w:t>
      </w:r>
    </w:p>
    <w:p w14:paraId="5E34F946">
      <w:pPr>
        <w:widowControl/>
        <w:numPr>
          <w:ilvl w:val="0"/>
          <w:numId w:val="2"/>
        </w:numPr>
        <w:spacing w:before="100" w:beforeAutospacing="1" w:after="100" w:afterAutospacing="1"/>
        <w:rPr>
          <w:rFonts w:ascii="Arial" w:hAnsi="Arial" w:cs="Arial"/>
        </w:rPr>
      </w:pPr>
      <w:r>
        <w:rPr>
          <w:rFonts w:ascii="Arial" w:hAnsi="Arial" w:cs="Arial"/>
        </w:rPr>
        <w:t>your justification for why these accounts are significant.</w:t>
      </w:r>
    </w:p>
    <w:p w14:paraId="4D75A026">
      <w:pPr>
        <w:pStyle w:val="8"/>
        <w:rPr>
          <w:rFonts w:ascii="Arial" w:hAnsi="Arial" w:cs="Arial"/>
          <w:sz w:val="22"/>
          <w:szCs w:val="22"/>
        </w:rPr>
      </w:pPr>
      <w:r>
        <w:rPr>
          <w:rStyle w:val="11"/>
          <w:rFonts w:ascii="Arial" w:hAnsi="Arial" w:cs="Arial"/>
          <w:sz w:val="22"/>
          <w:szCs w:val="22"/>
        </w:rPr>
        <w:t>2. </w:t>
      </w:r>
      <w:r>
        <w:rPr>
          <w:rStyle w:val="11"/>
          <w:rFonts w:ascii="Arial" w:hAnsi="Arial" w:cs="Arial"/>
          <w:sz w:val="22"/>
          <w:szCs w:val="22"/>
          <w:u w:val="single"/>
        </w:rPr>
        <w:t>Table of contents</w:t>
      </w:r>
      <w:r>
        <w:rPr>
          <w:rFonts w:ascii="Arial" w:hAnsi="Arial" w:cs="Arial"/>
          <w:sz w:val="22"/>
          <w:szCs w:val="22"/>
        </w:rPr>
        <w:br w:type="textWrapping"/>
      </w:r>
      <w:r>
        <w:rPr>
          <w:rFonts w:ascii="Arial" w:hAnsi="Arial" w:cs="Arial"/>
          <w:sz w:val="22"/>
          <w:szCs w:val="22"/>
        </w:rPr>
        <w:t>List the report topics using decimal notation. Include the main headings and sub headings with corresponding page numbers, using a format that makes the hierarchy of the topics clear.</w:t>
      </w:r>
      <w:r>
        <w:rPr>
          <w:rFonts w:ascii="Arial" w:hAnsi="Arial" w:cs="Arial"/>
          <w:sz w:val="22"/>
          <w:szCs w:val="22"/>
        </w:rPr>
        <w:br w:type="textWrapping"/>
      </w:r>
    </w:p>
    <w:p w14:paraId="3B3ADC63">
      <w:pPr>
        <w:pStyle w:val="8"/>
        <w:rPr>
          <w:rFonts w:ascii="Arial" w:hAnsi="Arial" w:cs="Arial"/>
          <w:sz w:val="22"/>
          <w:szCs w:val="22"/>
        </w:rPr>
      </w:pPr>
    </w:p>
    <w:p w14:paraId="2AD3F421">
      <w:pPr>
        <w:pStyle w:val="8"/>
        <w:rPr>
          <w:rFonts w:ascii="Arial" w:hAnsi="Arial" w:cs="Arial"/>
          <w:sz w:val="22"/>
          <w:szCs w:val="22"/>
        </w:rPr>
      </w:pPr>
    </w:p>
    <w:p w14:paraId="5E34F947">
      <w:pPr>
        <w:pStyle w:val="8"/>
        <w:rPr>
          <w:rFonts w:ascii="Arial" w:hAnsi="Arial" w:cs="Arial"/>
          <w:sz w:val="22"/>
          <w:szCs w:val="22"/>
        </w:rPr>
      </w:pPr>
      <w:r>
        <w:rPr>
          <w:rFonts w:ascii="Arial" w:hAnsi="Arial" w:cs="Arial"/>
          <w:sz w:val="22"/>
          <w:szCs w:val="22"/>
        </w:rPr>
        <w:br w:type="textWrapping"/>
      </w:r>
      <w:r>
        <w:rPr>
          <w:rStyle w:val="11"/>
          <w:rFonts w:ascii="Arial" w:hAnsi="Arial" w:cs="Arial"/>
          <w:sz w:val="22"/>
          <w:szCs w:val="22"/>
        </w:rPr>
        <w:t>3. </w:t>
      </w:r>
      <w:r>
        <w:rPr>
          <w:rStyle w:val="11"/>
          <w:rFonts w:ascii="Arial" w:hAnsi="Arial" w:cs="Arial"/>
          <w:sz w:val="22"/>
          <w:szCs w:val="22"/>
          <w:u w:val="single"/>
        </w:rPr>
        <w:t>Introduction</w:t>
      </w:r>
      <w:r>
        <w:rPr>
          <w:rFonts w:ascii="Arial" w:hAnsi="Arial" w:cs="Arial"/>
          <w:sz w:val="22"/>
          <w:szCs w:val="22"/>
        </w:rPr>
        <w:br w:type="textWrapping"/>
      </w:r>
      <w:r>
        <w:rPr>
          <w:rFonts w:ascii="Arial" w:hAnsi="Arial" w:cs="Arial"/>
          <w:sz w:val="22"/>
          <w:szCs w:val="22"/>
        </w:rPr>
        <w:t>Prepare your readers to fully understand the report by:</w:t>
      </w:r>
    </w:p>
    <w:p w14:paraId="5E34F948">
      <w:pPr>
        <w:widowControl/>
        <w:numPr>
          <w:ilvl w:val="0"/>
          <w:numId w:val="3"/>
        </w:numPr>
        <w:spacing w:before="100" w:beforeAutospacing="1" w:after="100" w:afterAutospacing="1"/>
        <w:rPr>
          <w:rFonts w:ascii="Arial" w:hAnsi="Arial" w:cs="Arial"/>
        </w:rPr>
      </w:pPr>
      <w:r>
        <w:rPr>
          <w:rFonts w:ascii="Arial" w:hAnsi="Arial" w:cs="Arial"/>
        </w:rPr>
        <w:t>giving some background information about the topic;</w:t>
      </w:r>
    </w:p>
    <w:p w14:paraId="5E34F949">
      <w:pPr>
        <w:widowControl/>
        <w:numPr>
          <w:ilvl w:val="0"/>
          <w:numId w:val="3"/>
        </w:numPr>
        <w:spacing w:before="100" w:beforeAutospacing="1" w:after="100" w:afterAutospacing="1"/>
        <w:rPr>
          <w:rFonts w:ascii="Arial" w:hAnsi="Arial" w:cs="Arial"/>
        </w:rPr>
      </w:pPr>
      <w:r>
        <w:rPr>
          <w:rFonts w:ascii="Arial" w:hAnsi="Arial" w:cs="Arial"/>
        </w:rPr>
        <w:t>stating the aim / purpose of the investigation;</w:t>
      </w:r>
    </w:p>
    <w:p w14:paraId="5E34F94A">
      <w:pPr>
        <w:widowControl/>
        <w:numPr>
          <w:ilvl w:val="0"/>
          <w:numId w:val="3"/>
        </w:numPr>
        <w:spacing w:before="100" w:beforeAutospacing="1" w:after="100" w:afterAutospacing="1"/>
        <w:rPr>
          <w:rFonts w:ascii="Arial" w:hAnsi="Arial" w:cs="Arial"/>
        </w:rPr>
      </w:pPr>
      <w:r>
        <w:rPr>
          <w:rFonts w:ascii="Arial" w:hAnsi="Arial" w:cs="Arial"/>
        </w:rPr>
        <w:t>explaining the research methods; and</w:t>
      </w:r>
    </w:p>
    <w:p w14:paraId="5E34F94B">
      <w:pPr>
        <w:widowControl/>
        <w:numPr>
          <w:ilvl w:val="0"/>
          <w:numId w:val="3"/>
        </w:numPr>
        <w:spacing w:before="100" w:beforeAutospacing="1" w:after="100" w:afterAutospacing="1"/>
        <w:rPr>
          <w:rFonts w:ascii="Arial" w:hAnsi="Arial" w:cs="Arial"/>
        </w:rPr>
      </w:pPr>
      <w:r>
        <w:rPr>
          <w:rFonts w:ascii="Arial" w:hAnsi="Arial" w:cs="Arial"/>
        </w:rPr>
        <w:t>outlining the sections of the report.</w:t>
      </w:r>
      <w:r>
        <w:rPr>
          <w:rFonts w:ascii="Arial" w:hAnsi="Arial" w:cs="Arial"/>
        </w:rPr>
        <w:br w:type="textWrapping"/>
      </w:r>
    </w:p>
    <w:p w14:paraId="5E34F94C">
      <w:pPr>
        <w:pStyle w:val="8"/>
        <w:rPr>
          <w:rFonts w:ascii="Arial" w:hAnsi="Arial" w:cs="Arial"/>
          <w:sz w:val="22"/>
          <w:szCs w:val="22"/>
        </w:rPr>
      </w:pPr>
      <w:r>
        <w:rPr>
          <w:rStyle w:val="11"/>
          <w:rFonts w:ascii="Arial" w:hAnsi="Arial" w:cs="Arial"/>
          <w:sz w:val="22"/>
          <w:szCs w:val="22"/>
        </w:rPr>
        <w:t>4. </w:t>
      </w:r>
      <w:r>
        <w:rPr>
          <w:rStyle w:val="11"/>
          <w:rFonts w:ascii="Arial" w:hAnsi="Arial" w:cs="Arial"/>
          <w:sz w:val="22"/>
          <w:szCs w:val="22"/>
          <w:u w:val="single"/>
        </w:rPr>
        <w:t>Discussion of IFRS, differences to U.S. GAAP, future amendments and reason for account selection</w:t>
      </w:r>
      <w:r>
        <w:rPr>
          <w:rFonts w:ascii="Arial" w:hAnsi="Arial" w:cs="Arial"/>
          <w:sz w:val="22"/>
          <w:szCs w:val="22"/>
        </w:rPr>
        <w:br w:type="textWrapping"/>
      </w:r>
      <w:r>
        <w:rPr>
          <w:rFonts w:ascii="Arial" w:hAnsi="Arial" w:cs="Arial"/>
          <w:sz w:val="22"/>
          <w:szCs w:val="22"/>
        </w:rPr>
        <w:t>Using the following format, separate sub-headings and examples, discuss the following:</w:t>
      </w:r>
    </w:p>
    <w:p w14:paraId="5E34F94D">
      <w:pPr>
        <w:pStyle w:val="8"/>
        <w:ind w:left="300"/>
        <w:rPr>
          <w:rStyle w:val="13"/>
          <w:rFonts w:ascii="Arial" w:hAnsi="Arial" w:cs="Arial"/>
          <w:sz w:val="22"/>
          <w:szCs w:val="22"/>
        </w:rPr>
      </w:pPr>
      <w:r>
        <w:rPr>
          <w:rStyle w:val="11"/>
          <w:rFonts w:ascii="Arial" w:hAnsi="Arial" w:cs="Arial"/>
          <w:sz w:val="22"/>
          <w:szCs w:val="22"/>
        </w:rPr>
        <w:t>4.1</w:t>
      </w:r>
      <w:r>
        <w:rPr>
          <w:rFonts w:ascii="Arial" w:hAnsi="Arial" w:cs="Arial"/>
          <w:sz w:val="22"/>
          <w:szCs w:val="22"/>
        </w:rPr>
        <w:t> IFRS requirements </w:t>
      </w:r>
      <w:r>
        <w:rPr>
          <w:rStyle w:val="13"/>
          <w:rFonts w:ascii="Arial" w:hAnsi="Arial" w:cs="Arial"/>
          <w:sz w:val="22"/>
          <w:szCs w:val="22"/>
        </w:rPr>
        <w:t>(related to the recognition and measurement of four (4) accounts):</w:t>
      </w:r>
    </w:p>
    <w:p w14:paraId="5E34F94E">
      <w:pPr>
        <w:pStyle w:val="8"/>
        <w:ind w:left="300"/>
        <w:rPr>
          <w:rFonts w:ascii="Arial" w:hAnsi="Arial" w:cs="Arial"/>
          <w:sz w:val="22"/>
          <w:szCs w:val="22"/>
        </w:rPr>
      </w:pPr>
      <w:r>
        <w:rPr>
          <w:rStyle w:val="11"/>
          <w:rFonts w:ascii="Arial" w:hAnsi="Arial" w:cs="Arial"/>
          <w:sz w:val="22"/>
          <w:szCs w:val="22"/>
        </w:rPr>
        <w:t>     4.1.1</w:t>
      </w:r>
      <w:r>
        <w:rPr>
          <w:rFonts w:ascii="Arial" w:hAnsi="Arial" w:cs="Arial"/>
          <w:sz w:val="22"/>
          <w:szCs w:val="22"/>
        </w:rPr>
        <w:t> Inventories</w:t>
      </w:r>
      <w:r>
        <w:rPr>
          <w:rFonts w:ascii="Arial" w:hAnsi="Arial" w:cs="Arial"/>
          <w:sz w:val="22"/>
          <w:szCs w:val="22"/>
        </w:rPr>
        <w:br w:type="textWrapping"/>
      </w:r>
      <w:r>
        <w:rPr>
          <w:rStyle w:val="11"/>
          <w:rFonts w:ascii="Arial" w:hAnsi="Arial" w:cs="Arial"/>
          <w:sz w:val="22"/>
          <w:szCs w:val="22"/>
        </w:rPr>
        <w:t>     4.1.2</w:t>
      </w:r>
      <w:r>
        <w:rPr>
          <w:rFonts w:ascii="Arial" w:hAnsi="Arial" w:cs="Arial"/>
          <w:sz w:val="22"/>
          <w:szCs w:val="22"/>
        </w:rPr>
        <w:t> Property, plant, and equipment;</w:t>
      </w:r>
      <w:r>
        <w:rPr>
          <w:rFonts w:ascii="Arial" w:hAnsi="Arial" w:cs="Arial"/>
          <w:sz w:val="22"/>
          <w:szCs w:val="22"/>
        </w:rPr>
        <w:br w:type="textWrapping"/>
      </w:r>
      <w:r>
        <w:rPr>
          <w:rStyle w:val="11"/>
          <w:rFonts w:ascii="Arial" w:hAnsi="Arial" w:cs="Arial"/>
          <w:sz w:val="22"/>
          <w:szCs w:val="22"/>
        </w:rPr>
        <w:t>     4.1.3</w:t>
      </w:r>
      <w:r>
        <w:rPr>
          <w:rFonts w:ascii="Arial" w:hAnsi="Arial" w:cs="Arial"/>
          <w:sz w:val="22"/>
          <w:szCs w:val="22"/>
        </w:rPr>
        <w:t> Employee benefits; and</w:t>
      </w:r>
      <w:r>
        <w:rPr>
          <w:rFonts w:ascii="Arial" w:hAnsi="Arial" w:cs="Arial"/>
          <w:sz w:val="22"/>
          <w:szCs w:val="22"/>
        </w:rPr>
        <w:br w:type="textWrapping"/>
      </w:r>
      <w:r>
        <w:rPr>
          <w:rStyle w:val="11"/>
          <w:rFonts w:ascii="Arial" w:hAnsi="Arial" w:cs="Arial"/>
          <w:sz w:val="22"/>
          <w:szCs w:val="22"/>
        </w:rPr>
        <w:t>     4.1.4</w:t>
      </w:r>
      <w:r>
        <w:rPr>
          <w:rFonts w:ascii="Arial" w:hAnsi="Arial" w:cs="Arial"/>
          <w:sz w:val="22"/>
          <w:szCs w:val="22"/>
        </w:rPr>
        <w:t> Share-based payments.</w:t>
      </w:r>
    </w:p>
    <w:p w14:paraId="5E34F94F">
      <w:pPr>
        <w:pStyle w:val="8"/>
        <w:ind w:left="300"/>
        <w:rPr>
          <w:rFonts w:ascii="Arial" w:hAnsi="Arial" w:cs="Arial"/>
          <w:sz w:val="22"/>
          <w:szCs w:val="22"/>
        </w:rPr>
      </w:pPr>
      <w:r>
        <w:rPr>
          <w:rStyle w:val="11"/>
          <w:rFonts w:ascii="Arial" w:hAnsi="Arial" w:cs="Arial"/>
          <w:sz w:val="22"/>
          <w:szCs w:val="22"/>
        </w:rPr>
        <w:t>4.2 </w:t>
      </w:r>
      <w:r>
        <w:rPr>
          <w:rFonts w:ascii="Arial" w:hAnsi="Arial" w:cs="Arial"/>
          <w:sz w:val="22"/>
          <w:szCs w:val="22"/>
        </w:rPr>
        <w:t>Recognition and measurement differences between IFRS and U.S. GAAP.</w:t>
      </w:r>
      <w:r>
        <w:rPr>
          <w:rFonts w:ascii="Arial" w:hAnsi="Arial" w:cs="Arial"/>
          <w:sz w:val="22"/>
          <w:szCs w:val="22"/>
        </w:rPr>
        <w:br w:type="textWrapping"/>
      </w:r>
      <w:r>
        <w:rPr>
          <w:rFonts w:ascii="Arial" w:hAnsi="Arial" w:cs="Arial"/>
          <w:sz w:val="22"/>
          <w:szCs w:val="22"/>
        </w:rPr>
        <w:t> </w:t>
      </w:r>
      <w:r>
        <w:rPr>
          <w:rFonts w:ascii="Arial" w:hAnsi="Arial" w:cs="Arial"/>
          <w:sz w:val="22"/>
          <w:szCs w:val="22"/>
        </w:rPr>
        <w:br w:type="textWrapping"/>
      </w:r>
      <w:r>
        <w:rPr>
          <w:rStyle w:val="11"/>
          <w:rFonts w:ascii="Arial" w:hAnsi="Arial" w:cs="Arial"/>
          <w:sz w:val="22"/>
          <w:szCs w:val="22"/>
        </w:rPr>
        <w:t>4.3</w:t>
      </w:r>
      <w:r>
        <w:rPr>
          <w:rFonts w:ascii="Arial" w:hAnsi="Arial" w:cs="Arial"/>
          <w:sz w:val="22"/>
          <w:szCs w:val="22"/>
        </w:rPr>
        <w:t> Future amendments under consideration by the International Accounting Standards Board (</w:t>
      </w:r>
      <w:r>
        <w:rPr>
          <w:rStyle w:val="13"/>
          <w:rFonts w:ascii="Arial" w:hAnsi="Arial" w:cs="Arial"/>
          <w:sz w:val="22"/>
          <w:szCs w:val="22"/>
        </w:rPr>
        <w:t>if applicable</w:t>
      </w:r>
      <w:r>
        <w:rPr>
          <w:rFonts w:ascii="Arial" w:hAnsi="Arial" w:cs="Arial"/>
          <w:sz w:val="22"/>
          <w:szCs w:val="22"/>
        </w:rPr>
        <w:t>).</w:t>
      </w:r>
      <w:r>
        <w:rPr>
          <w:rFonts w:ascii="Arial" w:hAnsi="Arial" w:cs="Arial"/>
          <w:sz w:val="22"/>
          <w:szCs w:val="22"/>
        </w:rPr>
        <w:br w:type="textWrapping"/>
      </w:r>
      <w:r>
        <w:rPr>
          <w:rFonts w:ascii="Arial" w:hAnsi="Arial" w:cs="Arial"/>
          <w:sz w:val="22"/>
          <w:szCs w:val="22"/>
        </w:rPr>
        <w:br w:type="textWrapping"/>
      </w:r>
      <w:r>
        <w:rPr>
          <w:rStyle w:val="11"/>
          <w:rFonts w:ascii="Arial" w:hAnsi="Arial" w:cs="Arial"/>
          <w:sz w:val="22"/>
          <w:szCs w:val="22"/>
        </w:rPr>
        <w:t>4.4</w:t>
      </w:r>
      <w:r>
        <w:rPr>
          <w:rFonts w:ascii="Arial" w:hAnsi="Arial" w:cs="Arial"/>
          <w:sz w:val="22"/>
          <w:szCs w:val="22"/>
        </w:rPr>
        <w:t> Significance of the selected accounts </w:t>
      </w:r>
      <w:r>
        <w:rPr>
          <w:rStyle w:val="13"/>
          <w:rFonts w:ascii="Arial" w:hAnsi="Arial" w:cs="Arial"/>
          <w:b/>
          <w:bCs/>
          <w:sz w:val="22"/>
          <w:szCs w:val="22"/>
        </w:rPr>
        <w:t>(</w:t>
      </w:r>
      <w:r>
        <w:rPr>
          <w:rStyle w:val="13"/>
          <w:rFonts w:ascii="Arial" w:hAnsi="Arial" w:cs="Arial"/>
          <w:sz w:val="22"/>
          <w:szCs w:val="22"/>
        </w:rPr>
        <w:t>Explanation as to why the four (4) accounts selected would be significant for a graduate accountant to be aware of when they commence at XYZ Ltd).</w:t>
      </w:r>
    </w:p>
    <w:p w14:paraId="5E34F950">
      <w:pPr>
        <w:pStyle w:val="8"/>
        <w:rPr>
          <w:rFonts w:ascii="Arial" w:hAnsi="Arial" w:cs="Arial"/>
          <w:sz w:val="22"/>
          <w:szCs w:val="22"/>
        </w:rPr>
      </w:pPr>
      <w:r>
        <w:rPr>
          <w:rFonts w:ascii="Arial" w:hAnsi="Arial" w:cs="Arial"/>
          <w:sz w:val="22"/>
          <w:szCs w:val="22"/>
        </w:rPr>
        <w:t>You should refer to your textbook, online sources and additional scholarly resources in order to properly discuss each section. You are required to use in-text citations which conform to APA 7th ed. referencing style and which should include, at a minimum, the author's last name and the year of publication.</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Organise each section in a logical sequence: what the graduates need to know about the accounts, what are the key differences comparing U.S. GAAP and examples which illustrate what you are trying to explain.</w:t>
      </w:r>
    </w:p>
    <w:p w14:paraId="5E34F951">
      <w:pPr>
        <w:pStyle w:val="8"/>
        <w:rPr>
          <w:rFonts w:ascii="Arial" w:hAnsi="Arial" w:cs="Arial"/>
          <w:sz w:val="22"/>
          <w:szCs w:val="22"/>
        </w:rPr>
      </w:pPr>
      <w:r>
        <w:rPr>
          <w:rStyle w:val="11"/>
          <w:rFonts w:ascii="Arial" w:hAnsi="Arial" w:cs="Arial"/>
          <w:sz w:val="22"/>
          <w:szCs w:val="22"/>
          <w:u w:val="single"/>
        </w:rPr>
        <w:t>5. Conclusion</w:t>
      </w:r>
      <w:r>
        <w:rPr>
          <w:rFonts w:ascii="Arial" w:hAnsi="Arial" w:cs="Arial"/>
          <w:sz w:val="22"/>
          <w:szCs w:val="22"/>
        </w:rPr>
        <w:br w:type="textWrapping"/>
      </w:r>
      <w:r>
        <w:rPr>
          <w:rFonts w:ascii="Arial" w:hAnsi="Arial" w:cs="Arial"/>
          <w:sz w:val="22"/>
          <w:szCs w:val="22"/>
        </w:rPr>
        <w:t>Sum up what has been discussed and the significance of your findings around the differences between each accounting practices. Do not include new information.</w:t>
      </w:r>
      <w:r>
        <w:rPr>
          <w:rFonts w:ascii="Arial" w:hAnsi="Arial" w:cs="Arial"/>
          <w:sz w:val="22"/>
          <w:szCs w:val="22"/>
        </w:rPr>
        <w:br w:type="textWrapping"/>
      </w:r>
      <w:r>
        <w:rPr>
          <w:rFonts w:ascii="Arial" w:hAnsi="Arial" w:cs="Arial"/>
          <w:sz w:val="22"/>
          <w:szCs w:val="22"/>
        </w:rPr>
        <w:br w:type="textWrapping"/>
      </w:r>
      <w:r>
        <w:rPr>
          <w:rStyle w:val="11"/>
          <w:rFonts w:ascii="Arial" w:hAnsi="Arial" w:cs="Arial"/>
          <w:sz w:val="22"/>
          <w:szCs w:val="22"/>
        </w:rPr>
        <w:t>6. </w:t>
      </w:r>
      <w:r>
        <w:rPr>
          <w:rStyle w:val="11"/>
          <w:rFonts w:ascii="Arial" w:hAnsi="Arial" w:cs="Arial"/>
          <w:sz w:val="22"/>
          <w:szCs w:val="22"/>
          <w:u w:val="single"/>
        </w:rPr>
        <w:t>Reference list</w:t>
      </w:r>
      <w:r>
        <w:rPr>
          <w:rFonts w:ascii="Arial" w:hAnsi="Arial" w:cs="Arial"/>
          <w:sz w:val="22"/>
          <w:szCs w:val="22"/>
        </w:rPr>
        <w:br w:type="textWrapping"/>
      </w:r>
      <w:r>
        <w:rPr>
          <w:rFonts w:ascii="Arial" w:hAnsi="Arial" w:cs="Arial"/>
          <w:sz w:val="22"/>
          <w:szCs w:val="22"/>
        </w:rPr>
        <w:t>All sources you referred to should be included in a reference list at the end of the report, conforming to </w:t>
      </w:r>
      <w:r>
        <w:fldChar w:fldCharType="begin"/>
      </w:r>
      <w:r>
        <w:instrText xml:space="preserve"> HYPERLINK "https://student.csu.edu.au/learning-skills/referencing" \t "_blank" </w:instrText>
      </w:r>
      <w:r>
        <w:fldChar w:fldCharType="separate"/>
      </w:r>
      <w:r>
        <w:rPr>
          <w:rStyle w:val="14"/>
          <w:rFonts w:ascii="Arial" w:hAnsi="Arial" w:eastAsia="Arial" w:cs="Arial"/>
          <w:sz w:val="22"/>
          <w:szCs w:val="22"/>
        </w:rPr>
        <w:t>APA 7th ed. style referencing</w:t>
      </w:r>
      <w:r>
        <w:rPr>
          <w:rStyle w:val="14"/>
          <w:rFonts w:ascii="Arial" w:hAnsi="Arial" w:eastAsia="Arial" w:cs="Arial"/>
          <w:sz w:val="22"/>
          <w:szCs w:val="22"/>
        </w:rPr>
        <w:fldChar w:fldCharType="end"/>
      </w:r>
      <w:r>
        <w:rPr>
          <w:rFonts w:ascii="Arial" w:hAnsi="Arial" w:cs="Arial"/>
          <w:sz w:val="22"/>
          <w:szCs w:val="22"/>
        </w:rPr>
        <w:t>.</w:t>
      </w:r>
    </w:p>
    <w:p w14:paraId="5E34F952">
      <w:pPr>
        <w:pStyle w:val="8"/>
        <w:spacing w:before="0" w:beforeAutospacing="0" w:after="0" w:afterAutospacing="0"/>
        <w:rPr>
          <w:rFonts w:ascii="Arial" w:hAnsi="Arial" w:cs="Arial"/>
        </w:rPr>
      </w:pPr>
      <w:r>
        <w:rPr>
          <w:rStyle w:val="11"/>
          <w:rFonts w:ascii="Arial" w:hAnsi="Arial" w:cs="Arial"/>
        </w:rPr>
        <w:t>NOTE: Do not include a generic cover page, restate the assessment task and/ or the Marking Criteria in your assessment. This will contribute to your </w:t>
      </w:r>
      <w:r>
        <w:rPr>
          <w:rStyle w:val="11"/>
          <w:rFonts w:ascii="Arial" w:hAnsi="Arial" w:cs="Arial"/>
          <w:u w:val="single"/>
        </w:rPr>
        <w:t>Turnitin similarity percentage</w:t>
      </w:r>
      <w:r>
        <w:rPr>
          <w:rStyle w:val="11"/>
          <w:rFonts w:ascii="Arial" w:hAnsi="Arial" w:cs="Arial"/>
        </w:rPr>
        <w:t> and may result in a Student Academic Misconduct investigation.  </w:t>
      </w:r>
    </w:p>
    <w:p w14:paraId="5E34F953">
      <w:pPr>
        <w:pStyle w:val="3"/>
        <w:spacing w:before="150" w:after="150"/>
        <w:rPr>
          <w:rFonts w:ascii="Arial" w:hAnsi="Arial" w:cs="Arial"/>
        </w:rPr>
      </w:pPr>
    </w:p>
    <w:p w14:paraId="5E34F95A">
      <w:pPr>
        <w:pStyle w:val="3"/>
        <w:spacing w:before="150" w:after="150"/>
        <w:rPr>
          <w:rFonts w:ascii="Arial" w:hAnsi="Arial" w:cs="Arial"/>
          <w:sz w:val="32"/>
          <w:szCs w:val="32"/>
        </w:rPr>
      </w:pPr>
      <w:r>
        <w:rPr>
          <w:rFonts w:ascii="Arial" w:hAnsi="Arial" w:cs="Arial"/>
          <w:sz w:val="32"/>
          <w:szCs w:val="32"/>
        </w:rPr>
        <w:t>Rationale</w:t>
      </w:r>
    </w:p>
    <w:p w14:paraId="5E34F95B">
      <w:pPr>
        <w:pStyle w:val="4"/>
        <w:spacing w:before="150" w:after="150"/>
        <w:rPr>
          <w:rFonts w:ascii="Arial" w:hAnsi="Arial" w:cs="Arial"/>
          <w:b/>
          <w:color w:val="auto"/>
        </w:rPr>
      </w:pPr>
      <w:r>
        <w:rPr>
          <w:rFonts w:ascii="Arial" w:hAnsi="Arial" w:cs="Arial"/>
          <w:b/>
          <w:color w:val="auto"/>
        </w:rPr>
        <w:t>Subject learning outcomes</w:t>
      </w:r>
    </w:p>
    <w:p w14:paraId="5E34F95C">
      <w:pPr>
        <w:pStyle w:val="23"/>
        <w:spacing w:before="0" w:beforeAutospacing="0" w:after="75" w:afterAutospacing="0"/>
        <w:rPr>
          <w:rFonts w:ascii="Arial" w:hAnsi="Arial" w:cs="Arial"/>
          <w:color w:val="414141"/>
        </w:rPr>
      </w:pPr>
      <w:r>
        <w:rPr>
          <w:rFonts w:ascii="Arial" w:hAnsi="Arial" w:cs="Arial"/>
          <w:color w:val="414141"/>
        </w:rPr>
        <w:t>This assessment task will assess the following learning outcome/s:</w:t>
      </w:r>
    </w:p>
    <w:p w14:paraId="5E34F95D">
      <w:pPr>
        <w:widowControl/>
        <w:numPr>
          <w:ilvl w:val="0"/>
          <w:numId w:val="4"/>
        </w:numPr>
        <w:spacing w:before="100" w:beforeAutospacing="1" w:after="100" w:afterAutospacing="1"/>
        <w:rPr>
          <w:rFonts w:ascii="Arial" w:hAnsi="Arial" w:cs="Arial"/>
        </w:rPr>
      </w:pPr>
      <w:r>
        <w:rPr>
          <w:rFonts w:ascii="Arial" w:hAnsi="Arial" w:cs="Arial"/>
        </w:rPr>
        <w:t>be able to critically discuss the importance of accounting to international businesses.</w:t>
      </w:r>
    </w:p>
    <w:p w14:paraId="5E34F95E">
      <w:pPr>
        <w:widowControl/>
        <w:numPr>
          <w:ilvl w:val="0"/>
          <w:numId w:val="4"/>
        </w:numPr>
        <w:spacing w:before="100" w:beforeAutospacing="1" w:after="100" w:afterAutospacing="1"/>
        <w:rPr>
          <w:rFonts w:ascii="Arial" w:hAnsi="Arial" w:cs="Arial"/>
        </w:rPr>
      </w:pPr>
      <w:r>
        <w:rPr>
          <w:rFonts w:ascii="Arial" w:hAnsi="Arial" w:cs="Arial"/>
        </w:rPr>
        <w:t>be able to explain the reasons for diversity and evaluate the ways of classifying international accounting practices.</w:t>
      </w:r>
    </w:p>
    <w:p w14:paraId="5E34F95F">
      <w:pPr>
        <w:widowControl/>
        <w:numPr>
          <w:ilvl w:val="0"/>
          <w:numId w:val="4"/>
        </w:numPr>
        <w:spacing w:before="100" w:beforeAutospacing="1" w:after="100" w:afterAutospacing="1"/>
        <w:rPr>
          <w:rFonts w:ascii="Arial" w:hAnsi="Arial" w:cs="Arial"/>
        </w:rPr>
      </w:pPr>
      <w:r>
        <w:rPr>
          <w:rFonts w:ascii="Arial" w:hAnsi="Arial" w:cs="Arial"/>
        </w:rPr>
        <w:t>be able to critically discuss the drivers of international harmonization of accounting practice.</w:t>
      </w:r>
    </w:p>
    <w:p w14:paraId="5E34F960">
      <w:pPr>
        <w:pStyle w:val="4"/>
        <w:spacing w:before="150" w:after="150"/>
        <w:rPr>
          <w:rFonts w:ascii="Arial" w:hAnsi="Arial" w:cs="Arial"/>
          <w:b/>
          <w:color w:val="auto"/>
          <w:sz w:val="32"/>
          <w:szCs w:val="32"/>
        </w:rPr>
      </w:pPr>
      <w:r>
        <w:rPr>
          <w:rFonts w:ascii="Arial" w:hAnsi="Arial" w:cs="Arial"/>
          <w:b/>
          <w:color w:val="auto"/>
          <w:sz w:val="32"/>
          <w:szCs w:val="32"/>
        </w:rPr>
        <w:t>Graduate learning outcomes</w:t>
      </w:r>
    </w:p>
    <w:p w14:paraId="5E34F961">
      <w:pPr>
        <w:pStyle w:val="23"/>
        <w:spacing w:before="0" w:beforeAutospacing="0" w:after="75" w:afterAutospacing="0"/>
        <w:rPr>
          <w:rFonts w:ascii="Arial" w:hAnsi="Arial" w:cs="Arial"/>
          <w:color w:val="414141"/>
          <w:sz w:val="22"/>
          <w:szCs w:val="22"/>
        </w:rPr>
      </w:pPr>
      <w:r>
        <w:rPr>
          <w:rFonts w:ascii="Arial" w:hAnsi="Arial" w:cs="Arial"/>
          <w:sz w:val="22"/>
          <w:szCs w:val="22"/>
        </w:rPr>
        <w:t>This task also contributes to the assessment of the following </w:t>
      </w:r>
      <w:r>
        <w:fldChar w:fldCharType="begin"/>
      </w:r>
      <w:r>
        <w:instrText xml:space="preserve"> HYPERLINK "https://student.csu.edu.au/study/glo" \t "_blank" </w:instrText>
      </w:r>
      <w:r>
        <w:fldChar w:fldCharType="separate"/>
      </w:r>
      <w:r>
        <w:rPr>
          <w:rStyle w:val="14"/>
          <w:rFonts w:ascii="Arial" w:hAnsi="Arial" w:eastAsia="Arial" w:cs="Arial"/>
          <w:sz w:val="22"/>
          <w:szCs w:val="22"/>
        </w:rPr>
        <w:t>CSU Graduate Learning Outcome/s</w:t>
      </w:r>
      <w:r>
        <w:rPr>
          <w:rStyle w:val="14"/>
          <w:rFonts w:ascii="Arial" w:hAnsi="Arial" w:eastAsia="Arial" w:cs="Arial"/>
          <w:sz w:val="22"/>
          <w:szCs w:val="22"/>
        </w:rPr>
        <w:fldChar w:fldCharType="end"/>
      </w:r>
      <w:r>
        <w:rPr>
          <w:rFonts w:ascii="Arial" w:hAnsi="Arial" w:cs="Arial"/>
          <w:color w:val="414141"/>
          <w:sz w:val="22"/>
          <w:szCs w:val="22"/>
        </w:rPr>
        <w:t>:</w:t>
      </w:r>
    </w:p>
    <w:p w14:paraId="5E34F962">
      <w:pPr>
        <w:widowControl/>
        <w:numPr>
          <w:ilvl w:val="0"/>
          <w:numId w:val="5"/>
        </w:numPr>
        <w:spacing w:before="100" w:beforeAutospacing="1" w:after="100" w:afterAutospacing="1"/>
        <w:rPr>
          <w:rFonts w:ascii="Arial" w:hAnsi="Arial" w:cs="Arial"/>
        </w:rPr>
      </w:pPr>
      <w:r>
        <w:rPr>
          <w:rFonts w:ascii="Arial" w:hAnsi="Arial" w:cs="Arial"/>
        </w:rPr>
        <w:t>Academic Literacy and Numeracy (Application) - CSU Graduates consider the context, purpose, and audience when gathering, interpreting, constructing, and presenting information.</w:t>
      </w:r>
    </w:p>
    <w:p w14:paraId="5E34F963">
      <w:pPr>
        <w:widowControl/>
        <w:numPr>
          <w:ilvl w:val="0"/>
          <w:numId w:val="5"/>
        </w:numPr>
        <w:spacing w:before="100" w:beforeAutospacing="1" w:after="100" w:afterAutospacing="1"/>
        <w:rPr>
          <w:rFonts w:ascii="Arial" w:hAnsi="Arial" w:cs="Arial"/>
        </w:rPr>
      </w:pPr>
      <w:r>
        <w:rPr>
          <w:rFonts w:ascii="Arial" w:hAnsi="Arial" w:cs="Arial"/>
        </w:rPr>
        <w:t>Information and Research Literacies (Skill) - CSU Graduates demonstrate the skills required to locate, access and critically evaluate existing information and data.</w:t>
      </w:r>
    </w:p>
    <w:p w14:paraId="5E34F964">
      <w:pPr>
        <w:widowControl/>
        <w:numPr>
          <w:ilvl w:val="0"/>
          <w:numId w:val="5"/>
        </w:numPr>
        <w:spacing w:before="100" w:beforeAutospacing="1" w:after="100" w:afterAutospacing="1"/>
        <w:rPr>
          <w:rFonts w:ascii="Arial" w:hAnsi="Arial" w:cs="Arial"/>
        </w:rPr>
      </w:pPr>
      <w:r>
        <w:rPr>
          <w:rFonts w:ascii="Arial" w:hAnsi="Arial" w:cs="Arial"/>
        </w:rPr>
        <w:t>Digital Literacies (Skill) - CSU Graduates use, create, communicate and share multimodal information in digital environments.</w:t>
      </w:r>
    </w:p>
    <w:p w14:paraId="2B7B01E3">
      <w:pPr>
        <w:pStyle w:val="3"/>
        <w:spacing w:before="150" w:after="150"/>
        <w:rPr>
          <w:rFonts w:ascii="Arial" w:hAnsi="Arial" w:cs="Arial"/>
          <w:sz w:val="32"/>
          <w:szCs w:val="32"/>
        </w:rPr>
      </w:pPr>
      <w:r>
        <w:rPr>
          <w:rFonts w:ascii="Arial" w:hAnsi="Arial" w:cs="Arial"/>
          <w:sz w:val="32"/>
          <w:szCs w:val="32"/>
        </w:rPr>
        <w:t>Marking criteria and standards</w:t>
      </w:r>
    </w:p>
    <w:tbl>
      <w:tblPr>
        <w:tblStyle w:val="9"/>
        <w:tblW w:w="8931" w:type="dxa"/>
        <w:tblInd w:w="-8" w:type="dxa"/>
        <w:tblLayout w:type="autofit"/>
        <w:tblCellMar>
          <w:top w:w="15" w:type="dxa"/>
          <w:left w:w="15" w:type="dxa"/>
          <w:bottom w:w="15" w:type="dxa"/>
          <w:right w:w="15" w:type="dxa"/>
        </w:tblCellMar>
      </w:tblPr>
      <w:tblGrid>
        <w:gridCol w:w="1985"/>
        <w:gridCol w:w="3969"/>
        <w:gridCol w:w="2977"/>
      </w:tblGrid>
      <w:tr w14:paraId="5E34F96A">
        <w:tblPrEx>
          <w:tblCellMar>
            <w:top w:w="15" w:type="dxa"/>
            <w:left w:w="15" w:type="dxa"/>
            <w:bottom w:w="15" w:type="dxa"/>
            <w:right w:w="15" w:type="dxa"/>
          </w:tblCellMar>
        </w:tblPrEx>
        <w:tc>
          <w:tcPr>
            <w:tcW w:w="1985"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tcPr>
          <w:p w14:paraId="5E34F966">
            <w:pPr>
              <w:widowControl/>
              <w:rPr>
                <w:rFonts w:ascii="Arial" w:hAnsi="Arial" w:eastAsia="Times New Roman" w:cs="Arial"/>
                <w:color w:val="000000"/>
                <w:sz w:val="18"/>
                <w:szCs w:val="18"/>
                <w:lang w:val="en-AU" w:eastAsia="en-AU"/>
              </w:rPr>
            </w:pPr>
            <w:r>
              <w:rPr>
                <w:rFonts w:ascii="Arial" w:hAnsi="Arial" w:eastAsia="Times New Roman" w:cs="Arial"/>
                <w:b/>
                <w:bCs/>
                <w:color w:val="000000"/>
                <w:sz w:val="18"/>
                <w:szCs w:val="18"/>
                <w:lang w:val="en-AU" w:eastAsia="en-AU"/>
              </w:rPr>
              <w:t>Criteria</w:t>
            </w:r>
          </w:p>
        </w:tc>
        <w:tc>
          <w:tcPr>
            <w:tcW w:w="3969"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vAlign w:val="center"/>
          </w:tcPr>
          <w:p w14:paraId="5E34F967">
            <w:pPr>
              <w:widowControl/>
              <w:rPr>
                <w:rFonts w:ascii="Arial" w:hAnsi="Arial" w:eastAsia="Times New Roman" w:cs="Arial"/>
                <w:color w:val="000000"/>
                <w:sz w:val="18"/>
                <w:szCs w:val="18"/>
                <w:lang w:val="en-AU" w:eastAsia="en-AU"/>
              </w:rPr>
            </w:pPr>
            <w:r>
              <w:rPr>
                <w:rFonts w:ascii="Arial" w:hAnsi="Arial" w:eastAsia="Times New Roman" w:cs="Arial"/>
                <w:b/>
                <w:bCs/>
                <w:color w:val="000000"/>
                <w:sz w:val="18"/>
                <w:szCs w:val="18"/>
                <w:lang w:val="en-AU" w:eastAsia="en-AU"/>
              </w:rPr>
              <w:t>High Distinction (HD), Distinction (DI), </w:t>
            </w:r>
          </w:p>
          <w:p w14:paraId="5E34F968">
            <w:pPr>
              <w:widowControl/>
              <w:rPr>
                <w:rFonts w:ascii="Arial" w:hAnsi="Arial" w:eastAsia="Times New Roman" w:cs="Arial"/>
                <w:color w:val="000000"/>
                <w:sz w:val="18"/>
                <w:szCs w:val="18"/>
                <w:lang w:val="en-AU" w:eastAsia="en-AU"/>
              </w:rPr>
            </w:pPr>
            <w:r>
              <w:rPr>
                <w:rFonts w:ascii="Arial" w:hAnsi="Arial" w:eastAsia="Times New Roman" w:cs="Arial"/>
                <w:b/>
                <w:bCs/>
                <w:color w:val="000000"/>
                <w:sz w:val="18"/>
                <w:szCs w:val="18"/>
                <w:lang w:val="en-AU" w:eastAsia="en-AU"/>
              </w:rPr>
              <w:t>Credit (CR) and Pass (PS)</w:t>
            </w:r>
          </w:p>
        </w:tc>
        <w:tc>
          <w:tcPr>
            <w:tcW w:w="2977"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vAlign w:val="center"/>
          </w:tcPr>
          <w:p w14:paraId="5E34F969">
            <w:pPr>
              <w:widowControl/>
              <w:rPr>
                <w:rFonts w:ascii="Arial" w:hAnsi="Arial" w:eastAsia="Times New Roman" w:cs="Arial"/>
                <w:color w:val="000000"/>
                <w:sz w:val="18"/>
                <w:szCs w:val="18"/>
                <w:lang w:val="en-AU" w:eastAsia="en-AU"/>
              </w:rPr>
            </w:pPr>
            <w:r>
              <w:rPr>
                <w:rFonts w:ascii="Arial" w:hAnsi="Arial" w:eastAsia="Times New Roman" w:cs="Arial"/>
                <w:b/>
                <w:bCs/>
                <w:color w:val="000000"/>
                <w:sz w:val="18"/>
                <w:szCs w:val="18"/>
                <w:lang w:val="en-AU" w:eastAsia="en-AU"/>
              </w:rPr>
              <w:t>Fail (FL)</w:t>
            </w:r>
          </w:p>
        </w:tc>
      </w:tr>
      <w:tr w14:paraId="5E34F96E">
        <w:tblPrEx>
          <w:tblCellMar>
            <w:top w:w="15" w:type="dxa"/>
            <w:left w:w="15" w:type="dxa"/>
            <w:bottom w:w="15" w:type="dxa"/>
            <w:right w:w="15" w:type="dxa"/>
          </w:tblCellMar>
        </w:tblPrEx>
        <w:tc>
          <w:tcPr>
            <w:tcW w:w="1985"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tcPr>
          <w:p w14:paraId="5E34F96B">
            <w:pPr>
              <w:widowControl/>
              <w:rPr>
                <w:rFonts w:ascii="Arial" w:hAnsi="Arial" w:eastAsia="Times New Roman" w:cs="Arial"/>
                <w:color w:val="000000"/>
                <w:sz w:val="18"/>
                <w:szCs w:val="18"/>
                <w:lang w:val="en-AU" w:eastAsia="en-AU"/>
              </w:rPr>
            </w:pPr>
            <w:r>
              <w:rPr>
                <w:rFonts w:ascii="Arial" w:hAnsi="Arial" w:eastAsia="Times New Roman" w:cs="Arial"/>
                <w:b/>
                <w:bCs/>
                <w:color w:val="000000"/>
                <w:sz w:val="18"/>
                <w:szCs w:val="18"/>
                <w:lang w:val="en-AU" w:eastAsia="en-AU"/>
              </w:rPr>
              <w:t>Sources of information are credible, acknowledged, traceable and the student's own work.</w:t>
            </w:r>
          </w:p>
        </w:tc>
        <w:tc>
          <w:tcPr>
            <w:tcW w:w="3969"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tcPr>
          <w:p w14:paraId="5E34F96C">
            <w:pPr>
              <w:widowControl/>
              <w:rPr>
                <w:rFonts w:ascii="Arial" w:hAnsi="Arial" w:eastAsia="Times New Roman" w:cs="Arial"/>
                <w:color w:val="000000"/>
                <w:sz w:val="18"/>
                <w:szCs w:val="18"/>
                <w:lang w:val="en-AU" w:eastAsia="en-AU"/>
              </w:rPr>
            </w:pPr>
            <w:r>
              <w:rPr>
                <w:rFonts w:ascii="Arial" w:hAnsi="Arial" w:eastAsia="Times New Roman" w:cs="Arial"/>
                <w:color w:val="000000"/>
                <w:sz w:val="18"/>
                <w:szCs w:val="18"/>
                <w:lang w:val="en-AU" w:eastAsia="en-AU"/>
              </w:rPr>
              <w:t>At least ten (10) in-text citations and a reference list to verifiable, credible, and traceable English sources in the body of the report.</w:t>
            </w:r>
          </w:p>
        </w:tc>
        <w:tc>
          <w:tcPr>
            <w:tcW w:w="2977" w:type="dxa"/>
            <w:tcBorders>
              <w:top w:val="single" w:color="DDDDDD" w:sz="6" w:space="0"/>
              <w:left w:val="single" w:color="DDDDDD" w:sz="6" w:space="0"/>
              <w:bottom w:val="single" w:color="DDDDDD" w:sz="6" w:space="0"/>
              <w:right w:val="single" w:color="DDDDDD" w:sz="6" w:space="0"/>
            </w:tcBorders>
            <w:tcMar>
              <w:top w:w="105" w:type="dxa"/>
              <w:left w:w="105" w:type="dxa"/>
              <w:bottom w:w="105" w:type="dxa"/>
              <w:right w:w="105" w:type="dxa"/>
            </w:tcMar>
          </w:tcPr>
          <w:p w14:paraId="5E34F96D">
            <w:pPr>
              <w:widowControl/>
              <w:rPr>
                <w:rFonts w:ascii="Arial" w:hAnsi="Arial" w:eastAsia="Times New Roman" w:cs="Arial"/>
                <w:color w:val="000000"/>
                <w:sz w:val="18"/>
                <w:szCs w:val="18"/>
                <w:lang w:val="en-AU" w:eastAsia="en-AU"/>
              </w:rPr>
            </w:pPr>
            <w:r>
              <w:rPr>
                <w:rFonts w:ascii="Arial" w:hAnsi="Arial" w:eastAsia="Times New Roman" w:cs="Arial"/>
                <w:color w:val="000000"/>
                <w:sz w:val="18"/>
                <w:szCs w:val="18"/>
                <w:lang w:val="en-AU" w:eastAsia="en-AU"/>
              </w:rPr>
              <w:t>The report does not include at least ten (10) in-text citations and/ or a reference list of traceable, credible English sources in the body of the report. </w:t>
            </w:r>
            <w:r>
              <w:rPr>
                <w:rFonts w:ascii="Arial" w:hAnsi="Arial" w:eastAsia="Times New Roman" w:cs="Arial"/>
                <w:b/>
                <w:bCs/>
                <w:color w:val="000000"/>
                <w:sz w:val="18"/>
                <w:szCs w:val="18"/>
                <w:lang w:val="en-AU" w:eastAsia="en-AU"/>
              </w:rPr>
              <w:t>This assessment will not be read and will receive 0 marks.</w:t>
            </w:r>
          </w:p>
        </w:tc>
      </w:tr>
    </w:tbl>
    <w:p w14:paraId="5E34F96F">
      <w:pPr>
        <w:rPr>
          <w:rFonts w:ascii="Arial" w:hAnsi="Arial" w:cs="Arial"/>
          <w:sz w:val="24"/>
          <w:szCs w:val="24"/>
        </w:rPr>
      </w:pPr>
    </w:p>
    <w:p w14:paraId="71CF0E83">
      <w:pPr>
        <w:rPr>
          <w:rFonts w:ascii="Arial" w:hAnsi="Arial" w:cs="Arial"/>
          <w:sz w:val="24"/>
          <w:szCs w:val="24"/>
        </w:rPr>
      </w:pPr>
    </w:p>
    <w:tbl>
      <w:tblPr>
        <w:tblStyle w:val="9"/>
        <w:tblW w:w="0" w:type="auto"/>
        <w:tblCellSpacing w:w="15" w:type="dxa"/>
        <w:tblInd w:w="0" w:type="dxa"/>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Layout w:type="autofit"/>
        <w:tblCellMar>
          <w:top w:w="15" w:type="dxa"/>
          <w:left w:w="15" w:type="dxa"/>
          <w:bottom w:w="15" w:type="dxa"/>
          <w:right w:w="15" w:type="dxa"/>
        </w:tblCellMar>
      </w:tblPr>
      <w:tblGrid>
        <w:gridCol w:w="2906"/>
        <w:gridCol w:w="3757"/>
        <w:gridCol w:w="2363"/>
      </w:tblGrid>
      <w:tr w14:paraId="0A143CF0">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Header/>
          <w:tblCellSpacing w:w="15" w:type="dxa"/>
        </w:trPr>
        <w:tc>
          <w:tcPr>
            <w:tcW w:w="2861" w:type="dxa"/>
            <w:shd w:val="clear" w:color="auto" w:fill="F5F5F5"/>
            <w:tcMar>
              <w:top w:w="120" w:type="dxa"/>
              <w:left w:w="180" w:type="dxa"/>
              <w:bottom w:w="105" w:type="dxa"/>
              <w:right w:w="120" w:type="dxa"/>
            </w:tcMar>
          </w:tcPr>
          <w:p w14:paraId="41DAC5B3">
            <w:pPr>
              <w:widowControl/>
              <w:spacing w:after="160" w:line="259" w:lineRule="auto"/>
              <w:rPr>
                <w:rFonts w:ascii="Arial" w:hAnsi="Arial" w:eastAsia="Aptos" w:cs="Arial"/>
                <w:b/>
                <w:bCs/>
                <w:kern w:val="2"/>
                <w:sz w:val="18"/>
                <w:szCs w:val="18"/>
                <w:lang w:val="en-AU"/>
                <w14:ligatures w14:val="standardContextual"/>
              </w:rPr>
            </w:pPr>
            <w:r>
              <w:rPr>
                <w:rFonts w:ascii="Arial" w:hAnsi="Arial" w:eastAsia="Aptos" w:cs="Arial"/>
                <w:b/>
                <w:bCs/>
                <w:kern w:val="2"/>
                <w:sz w:val="18"/>
                <w:szCs w:val="18"/>
                <w:lang w:val="en-AU"/>
                <w14:ligatures w14:val="standardContextual"/>
              </w:rPr>
              <w:t>Criteria</w:t>
            </w:r>
          </w:p>
        </w:tc>
        <w:tc>
          <w:tcPr>
            <w:tcW w:w="3727" w:type="dxa"/>
            <w:shd w:val="clear" w:color="auto" w:fill="F5F5F5"/>
            <w:tcMar>
              <w:top w:w="120" w:type="dxa"/>
              <w:left w:w="180" w:type="dxa"/>
              <w:bottom w:w="105" w:type="dxa"/>
              <w:right w:w="120" w:type="dxa"/>
            </w:tcMar>
          </w:tcPr>
          <w:p w14:paraId="00DF2A2A">
            <w:pPr>
              <w:widowControl/>
              <w:spacing w:after="160" w:line="259" w:lineRule="auto"/>
              <w:rPr>
                <w:rFonts w:ascii="Arial" w:hAnsi="Arial" w:eastAsia="Aptos" w:cs="Arial"/>
                <w:b/>
                <w:bCs/>
                <w:kern w:val="2"/>
                <w:sz w:val="18"/>
                <w:szCs w:val="18"/>
                <w:lang w:val="en-AU"/>
                <w14:ligatures w14:val="standardContextual"/>
              </w:rPr>
            </w:pPr>
            <w:r>
              <w:rPr>
                <w:rFonts w:ascii="Arial" w:hAnsi="Arial" w:eastAsia="Aptos" w:cs="Arial"/>
                <w:b/>
                <w:bCs/>
                <w:kern w:val="2"/>
                <w:sz w:val="18"/>
                <w:szCs w:val="18"/>
                <w:lang w:val="en-AU"/>
                <w14:ligatures w14:val="standardContextual"/>
              </w:rPr>
              <w:t>Pass (PS and above) – SY (50%-100%)</w:t>
            </w:r>
          </w:p>
        </w:tc>
        <w:tc>
          <w:tcPr>
            <w:tcW w:w="2318" w:type="dxa"/>
            <w:shd w:val="clear" w:color="auto" w:fill="F5F5F5"/>
            <w:tcMar>
              <w:top w:w="120" w:type="dxa"/>
              <w:left w:w="180" w:type="dxa"/>
              <w:bottom w:w="105" w:type="dxa"/>
              <w:right w:w="120" w:type="dxa"/>
            </w:tcMar>
          </w:tcPr>
          <w:p w14:paraId="0C614156">
            <w:pPr>
              <w:widowControl/>
              <w:spacing w:after="160" w:line="259" w:lineRule="auto"/>
              <w:rPr>
                <w:rFonts w:ascii="Arial" w:hAnsi="Arial" w:eastAsia="Aptos" w:cs="Arial"/>
                <w:b/>
                <w:bCs/>
                <w:kern w:val="2"/>
                <w:sz w:val="18"/>
                <w:szCs w:val="18"/>
                <w:lang w:val="en-AU"/>
                <w14:ligatures w14:val="standardContextual"/>
              </w:rPr>
            </w:pPr>
            <w:r>
              <w:rPr>
                <w:rFonts w:ascii="Arial" w:hAnsi="Arial" w:eastAsia="Aptos" w:cs="Arial"/>
                <w:b/>
                <w:bCs/>
                <w:kern w:val="2"/>
                <w:sz w:val="18"/>
                <w:szCs w:val="18"/>
                <w:lang w:val="en-AU"/>
                <w14:ligatures w14:val="standardContextual"/>
              </w:rPr>
              <w:t>Fail (FL) – US (49% - 0%)</w:t>
            </w:r>
          </w:p>
        </w:tc>
      </w:tr>
      <w:tr w14:paraId="7829B17D">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4572871C">
            <w:pPr>
              <w:widowControl/>
              <w:spacing w:after="160" w:line="259" w:lineRule="auto"/>
              <w:rPr>
                <w:rFonts w:ascii="Arial" w:hAnsi="Arial" w:eastAsia="Aptos" w:cs="Arial"/>
                <w:kern w:val="2"/>
                <w:sz w:val="18"/>
                <w:szCs w:val="18"/>
                <w:u w:val="single"/>
                <w:lang w:val="en-AU"/>
                <w14:ligatures w14:val="standardContextual"/>
              </w:rPr>
            </w:pPr>
            <w:r>
              <w:rPr>
                <w:rFonts w:ascii="Arial" w:hAnsi="Arial" w:eastAsia="Aptos" w:cs="Arial"/>
                <w:b/>
                <w:bCs/>
                <w:kern w:val="2"/>
                <w:sz w:val="18"/>
                <w:szCs w:val="18"/>
                <w:u w:val="single"/>
                <w:lang w:val="en-AU"/>
                <w14:ligatures w14:val="standardContextual"/>
              </w:rPr>
              <w:t>Report Format (30%)</w:t>
            </w:r>
          </w:p>
        </w:tc>
        <w:tc>
          <w:tcPr>
            <w:tcW w:w="3727" w:type="dxa"/>
            <w:shd w:val="clear" w:color="auto" w:fill="FAFAFA"/>
            <w:tcMar>
              <w:top w:w="120" w:type="dxa"/>
              <w:left w:w="180" w:type="dxa"/>
              <w:bottom w:w="105" w:type="dxa"/>
              <w:right w:w="120" w:type="dxa"/>
            </w:tcMar>
          </w:tcPr>
          <w:p w14:paraId="55B61D0B">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Includes all six report elements: Executive Summary, Table of Contents, Introduction, Discussion, Conclusion, Reference List. Sections contain most or all required information, follow the provided format, and include relevant supporting materials (e.g., graphs, tables).</w:t>
            </w:r>
          </w:p>
        </w:tc>
        <w:tc>
          <w:tcPr>
            <w:tcW w:w="2318" w:type="dxa"/>
            <w:shd w:val="clear" w:color="auto" w:fill="FAFAFA"/>
            <w:tcMar>
              <w:top w:w="120" w:type="dxa"/>
              <w:left w:w="180" w:type="dxa"/>
              <w:bottom w:w="105" w:type="dxa"/>
              <w:right w:w="120" w:type="dxa"/>
            </w:tcMar>
          </w:tcPr>
          <w:p w14:paraId="46850550">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Missing one or more required report elements. Sections are incomplete or irrelevant.</w:t>
            </w:r>
          </w:p>
        </w:tc>
      </w:tr>
      <w:tr w14:paraId="423FB62C">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728B0A09">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Executive Summary</w:t>
            </w:r>
          </w:p>
        </w:tc>
        <w:tc>
          <w:tcPr>
            <w:tcW w:w="3727" w:type="dxa"/>
            <w:shd w:val="clear" w:color="auto" w:fill="FAFAFA"/>
            <w:tcMar>
              <w:top w:w="120" w:type="dxa"/>
              <w:left w:w="180" w:type="dxa"/>
              <w:bottom w:w="105" w:type="dxa"/>
              <w:right w:w="120" w:type="dxa"/>
            </w:tcMar>
          </w:tcPr>
          <w:p w14:paraId="5B0CDE66">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Addresses at least two of the four required points with clarity and relevance to a graduate accountant. Higher marks for addressing three or four points with clarity and focus.</w:t>
            </w:r>
          </w:p>
        </w:tc>
        <w:tc>
          <w:tcPr>
            <w:tcW w:w="2318" w:type="dxa"/>
            <w:shd w:val="clear" w:color="auto" w:fill="FAFAFA"/>
            <w:tcMar>
              <w:top w:w="120" w:type="dxa"/>
              <w:left w:w="180" w:type="dxa"/>
              <w:bottom w:w="105" w:type="dxa"/>
              <w:right w:w="120" w:type="dxa"/>
            </w:tcMar>
          </w:tcPr>
          <w:p w14:paraId="17BCD4E3">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Omits the executive summary or fails to address the majority of the required points.</w:t>
            </w:r>
          </w:p>
        </w:tc>
      </w:tr>
      <w:tr w14:paraId="6B39EE09">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213C882F">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Table of Contents</w:t>
            </w:r>
          </w:p>
        </w:tc>
        <w:tc>
          <w:tcPr>
            <w:tcW w:w="3727" w:type="dxa"/>
            <w:shd w:val="clear" w:color="auto" w:fill="FAFAFA"/>
            <w:tcMar>
              <w:top w:w="120" w:type="dxa"/>
              <w:left w:w="180" w:type="dxa"/>
              <w:bottom w:w="105" w:type="dxa"/>
              <w:right w:w="120" w:type="dxa"/>
            </w:tcMar>
          </w:tcPr>
          <w:p w14:paraId="2A413084">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References most or all report elements, including figures/diagrams if present. Headings and subheadings are formatted with minor to moderate errors.</w:t>
            </w:r>
          </w:p>
        </w:tc>
        <w:tc>
          <w:tcPr>
            <w:tcW w:w="2318" w:type="dxa"/>
            <w:shd w:val="clear" w:color="auto" w:fill="FAFAFA"/>
            <w:tcMar>
              <w:top w:w="120" w:type="dxa"/>
              <w:left w:w="180" w:type="dxa"/>
              <w:bottom w:w="105" w:type="dxa"/>
              <w:right w:w="120" w:type="dxa"/>
            </w:tcMar>
          </w:tcPr>
          <w:p w14:paraId="21EF0FB2">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Table of contents is missing or does not correctly reference report elements.</w:t>
            </w:r>
          </w:p>
        </w:tc>
      </w:tr>
      <w:tr w14:paraId="7ED19A72">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286DCF53">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Academic Writing (Intro/Discussion/Conclusion)</w:t>
            </w:r>
          </w:p>
        </w:tc>
        <w:tc>
          <w:tcPr>
            <w:tcW w:w="3727" w:type="dxa"/>
            <w:shd w:val="clear" w:color="auto" w:fill="FAFAFA"/>
            <w:tcMar>
              <w:top w:w="120" w:type="dxa"/>
              <w:left w:w="180" w:type="dxa"/>
              <w:bottom w:w="105" w:type="dxa"/>
              <w:right w:w="120" w:type="dxa"/>
            </w:tcMar>
          </w:tcPr>
          <w:p w14:paraId="17B766F7">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Adheres to academic writing conventions with minor to moderate errors. Higher marks for consistent and precise adherence.</w:t>
            </w:r>
          </w:p>
        </w:tc>
        <w:tc>
          <w:tcPr>
            <w:tcW w:w="2318" w:type="dxa"/>
            <w:shd w:val="clear" w:color="auto" w:fill="FAFAFA"/>
            <w:tcMar>
              <w:top w:w="120" w:type="dxa"/>
              <w:left w:w="180" w:type="dxa"/>
              <w:bottom w:w="105" w:type="dxa"/>
              <w:right w:w="120" w:type="dxa"/>
            </w:tcMar>
          </w:tcPr>
          <w:p w14:paraId="71F5D3F7">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Does not adhere to academic writing conventions in most sections.</w:t>
            </w:r>
          </w:p>
        </w:tc>
      </w:tr>
      <w:tr w14:paraId="0200A9BD">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4A1F0106">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Headings/Subheadings</w:t>
            </w:r>
          </w:p>
        </w:tc>
        <w:tc>
          <w:tcPr>
            <w:tcW w:w="3727" w:type="dxa"/>
            <w:shd w:val="clear" w:color="auto" w:fill="FAFAFA"/>
            <w:tcMar>
              <w:top w:w="120" w:type="dxa"/>
              <w:left w:w="180" w:type="dxa"/>
              <w:bottom w:w="105" w:type="dxa"/>
              <w:right w:w="120" w:type="dxa"/>
            </w:tcMar>
          </w:tcPr>
          <w:p w14:paraId="22771587">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Titles align with content and are descriptive to varying degrees. Higher marks for accuracy and clarity.</w:t>
            </w:r>
          </w:p>
        </w:tc>
        <w:tc>
          <w:tcPr>
            <w:tcW w:w="2318" w:type="dxa"/>
            <w:shd w:val="clear" w:color="auto" w:fill="FAFAFA"/>
            <w:tcMar>
              <w:top w:w="120" w:type="dxa"/>
              <w:left w:w="180" w:type="dxa"/>
              <w:bottom w:w="105" w:type="dxa"/>
              <w:right w:w="120" w:type="dxa"/>
            </w:tcMar>
          </w:tcPr>
          <w:p w14:paraId="4D81A76C">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Titles are misaligned, unclear, or missing.</w:t>
            </w:r>
          </w:p>
        </w:tc>
      </w:tr>
      <w:tr w14:paraId="4FF95696">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6E7C606B">
            <w:pPr>
              <w:widowControl/>
              <w:spacing w:after="160" w:line="259" w:lineRule="auto"/>
              <w:rPr>
                <w:rFonts w:ascii="Arial" w:hAnsi="Arial" w:eastAsia="Aptos" w:cs="Arial"/>
                <w:kern w:val="2"/>
                <w:sz w:val="18"/>
                <w:szCs w:val="18"/>
                <w:u w:val="single"/>
                <w:lang w:val="en-AU"/>
                <w14:ligatures w14:val="standardContextual"/>
              </w:rPr>
            </w:pPr>
            <w:r>
              <w:rPr>
                <w:rFonts w:ascii="Arial" w:hAnsi="Arial" w:eastAsia="Aptos" w:cs="Arial"/>
                <w:b/>
                <w:bCs/>
                <w:kern w:val="2"/>
                <w:sz w:val="18"/>
                <w:szCs w:val="18"/>
                <w:u w:val="single"/>
                <w:lang w:val="en-AU"/>
                <w14:ligatures w14:val="standardContextual"/>
              </w:rPr>
              <w:t>Discussion of Accounts (55%)</w:t>
            </w:r>
          </w:p>
        </w:tc>
        <w:tc>
          <w:tcPr>
            <w:tcW w:w="3727" w:type="dxa"/>
            <w:shd w:val="clear" w:color="auto" w:fill="FAFAFA"/>
            <w:tcMar>
              <w:top w:w="120" w:type="dxa"/>
              <w:left w:w="180" w:type="dxa"/>
              <w:bottom w:w="105" w:type="dxa"/>
              <w:right w:w="120" w:type="dxa"/>
            </w:tcMar>
          </w:tcPr>
          <w:p w14:paraId="348BE1E2">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All four accounts are addressed with explanation and supporting evidence. Includes IFRS vs. U.S. GAAP comparisons, future amendments, and significance. Higher marks for comprehensive, articulate discussion and clear relevance to a graduate accountant.</w:t>
            </w:r>
          </w:p>
        </w:tc>
        <w:tc>
          <w:tcPr>
            <w:tcW w:w="2318" w:type="dxa"/>
            <w:shd w:val="clear" w:color="auto" w:fill="FAFAFA"/>
            <w:tcMar>
              <w:top w:w="120" w:type="dxa"/>
              <w:left w:w="180" w:type="dxa"/>
              <w:bottom w:w="105" w:type="dxa"/>
              <w:right w:w="120" w:type="dxa"/>
            </w:tcMar>
          </w:tcPr>
          <w:p w14:paraId="756572FD">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One or more accounts are omitted or lack appropriate explanation and evidence.</w:t>
            </w:r>
          </w:p>
        </w:tc>
      </w:tr>
      <w:tr w14:paraId="6095688C">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2B7B89F1">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Examples and Research</w:t>
            </w:r>
          </w:p>
        </w:tc>
        <w:tc>
          <w:tcPr>
            <w:tcW w:w="3727" w:type="dxa"/>
            <w:shd w:val="clear" w:color="auto" w:fill="FAFAFA"/>
            <w:tcMar>
              <w:top w:w="120" w:type="dxa"/>
              <w:left w:w="180" w:type="dxa"/>
              <w:bottom w:w="105" w:type="dxa"/>
              <w:right w:w="120" w:type="dxa"/>
            </w:tcMar>
          </w:tcPr>
          <w:p w14:paraId="3D67A709">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Most or all accounts include relevant examples and evidence of scholarly research. Higher marks for clarity, relevance, and depth of research.</w:t>
            </w:r>
          </w:p>
        </w:tc>
        <w:tc>
          <w:tcPr>
            <w:tcW w:w="2318" w:type="dxa"/>
            <w:shd w:val="clear" w:color="auto" w:fill="FAFAFA"/>
            <w:tcMar>
              <w:top w:w="120" w:type="dxa"/>
              <w:left w:w="180" w:type="dxa"/>
              <w:bottom w:w="105" w:type="dxa"/>
              <w:right w:w="120" w:type="dxa"/>
            </w:tcMar>
          </w:tcPr>
          <w:p w14:paraId="4C7FDEDB">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Two or more accounts lack examples or evidence of research.</w:t>
            </w:r>
          </w:p>
        </w:tc>
      </w:tr>
      <w:tr w14:paraId="7DDFC1FD">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105" w:type="dxa"/>
              <w:right w:w="120" w:type="dxa"/>
            </w:tcMar>
          </w:tcPr>
          <w:p w14:paraId="5ED8BFC3">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b/>
                <w:bCs/>
                <w:kern w:val="2"/>
                <w:sz w:val="18"/>
                <w:szCs w:val="18"/>
                <w:lang w:val="en-AU"/>
                <w14:ligatures w14:val="standardContextual"/>
              </w:rPr>
              <w:t>Significance to Graduate Accountant</w:t>
            </w:r>
          </w:p>
        </w:tc>
        <w:tc>
          <w:tcPr>
            <w:tcW w:w="3727" w:type="dxa"/>
            <w:shd w:val="clear" w:color="auto" w:fill="FAFAFA"/>
            <w:tcMar>
              <w:top w:w="120" w:type="dxa"/>
              <w:left w:w="180" w:type="dxa"/>
              <w:bottom w:w="105" w:type="dxa"/>
              <w:right w:w="120" w:type="dxa"/>
            </w:tcMar>
          </w:tcPr>
          <w:p w14:paraId="3C41942D">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Significance is clear and supported by references to discussion evidence. Higher marks for multiple, coherent justifications.</w:t>
            </w:r>
          </w:p>
        </w:tc>
        <w:tc>
          <w:tcPr>
            <w:tcW w:w="2318" w:type="dxa"/>
            <w:shd w:val="clear" w:color="auto" w:fill="FAFAFA"/>
            <w:tcMar>
              <w:top w:w="120" w:type="dxa"/>
              <w:left w:w="180" w:type="dxa"/>
              <w:bottom w:w="105" w:type="dxa"/>
              <w:right w:w="120" w:type="dxa"/>
            </w:tcMar>
          </w:tcPr>
          <w:p w14:paraId="3ADE513F">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Significance is omitted or unsupported by evidence.</w:t>
            </w:r>
          </w:p>
        </w:tc>
      </w:tr>
      <w:tr w14:paraId="257ECEFF">
        <w:tblPrEx>
          <w:tblBorders>
            <w:top w:val="none" w:color="auto" w:sz="0" w:space="0"/>
            <w:left w:val="none" w:color="auto" w:sz="0" w:space="0"/>
            <w:bottom w:val="none" w:color="auto" w:sz="0" w:space="0"/>
            <w:right w:val="none" w:color="auto" w:sz="0" w:space="0"/>
            <w:insideH w:val="single" w:color="E6E6E6" w:sz="6" w:space="0"/>
            <w:insideV w:val="none" w:color="auto" w:sz="0" w:space="0"/>
          </w:tblBorders>
          <w:shd w:val="clear" w:color="auto" w:fill="FAFAFA"/>
          <w:tblCellMar>
            <w:top w:w="15" w:type="dxa"/>
            <w:left w:w="15" w:type="dxa"/>
            <w:bottom w:w="15" w:type="dxa"/>
            <w:right w:w="15" w:type="dxa"/>
          </w:tblCellMar>
        </w:tblPrEx>
        <w:trPr>
          <w:tblCellSpacing w:w="15" w:type="dxa"/>
        </w:trPr>
        <w:tc>
          <w:tcPr>
            <w:tcW w:w="2861" w:type="dxa"/>
            <w:shd w:val="clear" w:color="auto" w:fill="FAFAFA"/>
            <w:tcMar>
              <w:top w:w="120" w:type="dxa"/>
              <w:left w:w="180" w:type="dxa"/>
              <w:bottom w:w="90" w:type="dxa"/>
              <w:right w:w="120" w:type="dxa"/>
            </w:tcMar>
          </w:tcPr>
          <w:p w14:paraId="0C21FA87">
            <w:pPr>
              <w:widowControl/>
              <w:spacing w:after="160" w:line="259" w:lineRule="auto"/>
              <w:rPr>
                <w:rFonts w:ascii="Arial" w:hAnsi="Arial" w:eastAsia="Aptos" w:cs="Arial"/>
                <w:kern w:val="2"/>
                <w:sz w:val="18"/>
                <w:szCs w:val="18"/>
                <w:u w:val="single"/>
                <w:lang w:val="en-AU"/>
                <w14:ligatures w14:val="standardContextual"/>
              </w:rPr>
            </w:pPr>
            <w:r>
              <w:rPr>
                <w:rFonts w:ascii="Arial" w:hAnsi="Arial" w:eastAsia="Aptos" w:cs="Arial"/>
                <w:b/>
                <w:bCs/>
                <w:kern w:val="2"/>
                <w:sz w:val="18"/>
                <w:szCs w:val="18"/>
                <w:u w:val="single"/>
                <w:lang w:val="en-AU"/>
                <w14:ligatures w14:val="standardContextual"/>
              </w:rPr>
              <w:t>Academic Writing &amp; Referencing (15%)</w:t>
            </w:r>
          </w:p>
        </w:tc>
        <w:tc>
          <w:tcPr>
            <w:tcW w:w="3727" w:type="dxa"/>
            <w:shd w:val="clear" w:color="auto" w:fill="FAFAFA"/>
            <w:tcMar>
              <w:top w:w="120" w:type="dxa"/>
              <w:left w:w="180" w:type="dxa"/>
              <w:bottom w:w="90" w:type="dxa"/>
              <w:right w:w="120" w:type="dxa"/>
            </w:tcMar>
          </w:tcPr>
          <w:p w14:paraId="0E94CB03">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Writing has few to moderate errors that do not affect meaning. Referencing follows APA 7th ed. style with minor to moderate errors. All sources are traceable.</w:t>
            </w:r>
          </w:p>
        </w:tc>
        <w:tc>
          <w:tcPr>
            <w:tcW w:w="2318" w:type="dxa"/>
            <w:shd w:val="clear" w:color="auto" w:fill="FAFAFA"/>
            <w:tcMar>
              <w:top w:w="120" w:type="dxa"/>
              <w:left w:w="180" w:type="dxa"/>
              <w:bottom w:w="90" w:type="dxa"/>
              <w:right w:w="120" w:type="dxa"/>
            </w:tcMar>
          </w:tcPr>
          <w:p w14:paraId="7D3CEDE1">
            <w:pPr>
              <w:widowControl/>
              <w:spacing w:after="160" w:line="259" w:lineRule="auto"/>
              <w:rPr>
                <w:rFonts w:ascii="Arial" w:hAnsi="Arial" w:eastAsia="Aptos" w:cs="Arial"/>
                <w:kern w:val="2"/>
                <w:sz w:val="18"/>
                <w:szCs w:val="18"/>
                <w:lang w:val="en-AU"/>
                <w14:ligatures w14:val="standardContextual"/>
              </w:rPr>
            </w:pPr>
            <w:r>
              <w:rPr>
                <w:rFonts w:ascii="Arial" w:hAnsi="Arial" w:eastAsia="Aptos" w:cs="Arial"/>
                <w:kern w:val="2"/>
                <w:sz w:val="18"/>
                <w:szCs w:val="18"/>
                <w:lang w:val="en-AU"/>
                <w14:ligatures w14:val="standardContextual"/>
              </w:rPr>
              <w:t>Writing errors affect meaning. Referencing is inconsistent or sources are not trace</w:t>
            </w:r>
          </w:p>
        </w:tc>
      </w:tr>
    </w:tbl>
    <w:p w14:paraId="6A2872A0">
      <w:pPr>
        <w:rPr>
          <w:rFonts w:ascii="Arial" w:hAnsi="Arial" w:cs="Arial"/>
          <w:sz w:val="24"/>
          <w:szCs w:val="24"/>
        </w:rPr>
      </w:pPr>
    </w:p>
    <w:p w14:paraId="39CFA313">
      <w:pPr>
        <w:rPr>
          <w:rFonts w:ascii="Arial" w:hAnsi="Arial" w:cs="Arial"/>
          <w:sz w:val="24"/>
          <w:szCs w:val="24"/>
        </w:rPr>
      </w:pPr>
    </w:p>
    <w:p w14:paraId="0CD87B8A">
      <w:pPr>
        <w:rPr>
          <w:rFonts w:ascii="Arial" w:hAnsi="Arial" w:cs="Arial"/>
          <w:sz w:val="24"/>
          <w:szCs w:val="24"/>
        </w:rPr>
      </w:pPr>
    </w:p>
    <w:p w14:paraId="1AC7E772">
      <w:pPr>
        <w:rPr>
          <w:rFonts w:ascii="Arial" w:hAnsi="Arial" w:cs="Arial"/>
          <w:sz w:val="24"/>
          <w:szCs w:val="24"/>
        </w:rPr>
      </w:pPr>
    </w:p>
    <w:p w14:paraId="6095B6F2">
      <w:pPr>
        <w:pStyle w:val="19"/>
        <w:rPr>
          <w:rFonts w:ascii="Arial" w:hAnsi="Arial" w:cs="Arial"/>
          <w:color w:val="414141"/>
          <w:sz w:val="18"/>
          <w:szCs w:val="18"/>
        </w:rPr>
      </w:pPr>
    </w:p>
    <w:p w14:paraId="6E3061A9">
      <w:pPr>
        <w:pStyle w:val="19"/>
        <w:rPr>
          <w:rFonts w:ascii="Arial" w:hAnsi="Arial" w:cs="Arial"/>
          <w:color w:val="414141"/>
          <w:sz w:val="18"/>
          <w:szCs w:val="18"/>
        </w:rPr>
      </w:pPr>
    </w:p>
    <w:p w14:paraId="5E34F9ED">
      <w:pPr>
        <w:pStyle w:val="19"/>
        <w:rPr>
          <w:rFonts w:ascii="Arial" w:hAnsi="Arial" w:cs="Arial"/>
          <w:sz w:val="28"/>
          <w:szCs w:val="28"/>
        </w:rPr>
      </w:pPr>
      <w:r>
        <w:rPr>
          <w:rFonts w:ascii="Arial" w:hAnsi="Arial" w:cs="Arial"/>
          <w:color w:val="414141"/>
          <w:sz w:val="18"/>
          <w:szCs w:val="18"/>
        </w:rPr>
        <w:br w:type="textWrapping"/>
      </w:r>
      <w:r>
        <w:rPr>
          <w:rFonts w:ascii="Arial" w:hAnsi="Arial" w:cs="Arial"/>
          <w:b/>
          <w:sz w:val="28"/>
          <w:szCs w:val="28"/>
        </w:rPr>
        <w:t>Presentation</w:t>
      </w:r>
    </w:p>
    <w:p w14:paraId="5E34F9EE">
      <w:pPr>
        <w:pStyle w:val="8"/>
        <w:spacing w:before="0" w:beforeAutospacing="0"/>
        <w:rPr>
          <w:rFonts w:ascii="Arial" w:hAnsi="Arial" w:cs="Arial"/>
          <w:sz w:val="22"/>
          <w:szCs w:val="22"/>
        </w:rPr>
      </w:pPr>
      <w:r>
        <w:rPr>
          <w:rFonts w:ascii="Arial" w:hAnsi="Arial" w:cs="Arial"/>
          <w:sz w:val="22"/>
          <w:szCs w:val="22"/>
        </w:rPr>
        <w:t>Remember that in the business world the professional presentation of information is fundamental and accordingly marks will be deducted for poor presentation. Review the rules regarding plagiarism and if you are not sure contact your lecturer or the Academic Skills team for advice. There is no excuse for presenting the work of others as your own; this includes cutting and pasting material from the internet without properly referencing the source. Your report should follow these formatting guidelines:</w:t>
      </w:r>
    </w:p>
    <w:p w14:paraId="5E34F9EF">
      <w:pPr>
        <w:widowControl/>
        <w:numPr>
          <w:ilvl w:val="0"/>
          <w:numId w:val="6"/>
        </w:numPr>
        <w:spacing w:before="100" w:beforeAutospacing="1" w:after="100" w:afterAutospacing="1"/>
        <w:rPr>
          <w:rFonts w:ascii="Arial" w:hAnsi="Arial" w:cs="Arial"/>
        </w:rPr>
      </w:pPr>
      <w:r>
        <w:rPr>
          <w:rFonts w:ascii="Arial" w:hAnsi="Arial" w:cs="Arial"/>
        </w:rPr>
        <w:t>Spacing should be 1.5 lines;</w:t>
      </w:r>
    </w:p>
    <w:p w14:paraId="5E34F9F0">
      <w:pPr>
        <w:widowControl/>
        <w:numPr>
          <w:ilvl w:val="0"/>
          <w:numId w:val="6"/>
        </w:numPr>
        <w:spacing w:before="100" w:beforeAutospacing="1" w:after="100" w:afterAutospacing="1"/>
        <w:rPr>
          <w:rFonts w:ascii="Arial" w:hAnsi="Arial" w:cs="Arial"/>
        </w:rPr>
      </w:pPr>
      <w:r>
        <w:rPr>
          <w:rFonts w:ascii="Arial" w:hAnsi="Arial" w:cs="Arial"/>
        </w:rPr>
        <w:t>Arial or Calibri font preferred;</w:t>
      </w:r>
    </w:p>
    <w:p w14:paraId="5E34F9F1">
      <w:pPr>
        <w:widowControl/>
        <w:numPr>
          <w:ilvl w:val="0"/>
          <w:numId w:val="6"/>
        </w:numPr>
        <w:spacing w:before="100" w:beforeAutospacing="1" w:after="100" w:afterAutospacing="1"/>
        <w:rPr>
          <w:rFonts w:ascii="Arial" w:hAnsi="Arial" w:cs="Arial"/>
        </w:rPr>
      </w:pPr>
      <w:r>
        <w:rPr>
          <w:rFonts w:ascii="Arial" w:hAnsi="Arial" w:cs="Arial"/>
        </w:rPr>
        <w:t>Font size 12; and</w:t>
      </w:r>
    </w:p>
    <w:p w14:paraId="5E34F9F2">
      <w:pPr>
        <w:widowControl/>
        <w:numPr>
          <w:ilvl w:val="0"/>
          <w:numId w:val="6"/>
        </w:numPr>
        <w:spacing w:before="100" w:beforeAutospacing="1" w:after="100" w:afterAutospacing="1"/>
        <w:rPr>
          <w:rFonts w:ascii="Arial" w:hAnsi="Arial" w:cs="Arial"/>
        </w:rPr>
      </w:pPr>
      <w:r>
        <w:rPr>
          <w:rFonts w:ascii="Arial" w:hAnsi="Arial" w:cs="Arial"/>
        </w:rPr>
        <w:t>Within +/- 10% of the word limit.</w:t>
      </w:r>
    </w:p>
    <w:p w14:paraId="5E34F9F3">
      <w:pPr>
        <w:widowControl/>
        <w:numPr>
          <w:ilvl w:val="0"/>
          <w:numId w:val="6"/>
        </w:numPr>
        <w:spacing w:before="100" w:beforeAutospacing="1" w:after="100" w:afterAutospacing="1"/>
        <w:rPr>
          <w:rFonts w:ascii="Arial" w:hAnsi="Arial" w:cs="Arial"/>
        </w:rPr>
      </w:pPr>
      <w:r>
        <w:rPr>
          <w:rFonts w:ascii="Arial" w:hAnsi="Arial" w:cs="Arial"/>
        </w:rPr>
        <w:t>Header and / or footer containing the subject code, subject name, word count, assessment item number and title, student number and student name;</w:t>
      </w:r>
    </w:p>
    <w:p w14:paraId="5E34F9F4">
      <w:pPr>
        <w:pStyle w:val="8"/>
        <w:rPr>
          <w:rFonts w:ascii="Arial" w:hAnsi="Arial" w:cs="Arial"/>
          <w:sz w:val="22"/>
          <w:szCs w:val="22"/>
        </w:rPr>
      </w:pPr>
      <w:r>
        <w:rPr>
          <w:rFonts w:ascii="Arial" w:hAnsi="Arial" w:cs="Arial"/>
          <w:sz w:val="22"/>
          <w:szCs w:val="22"/>
        </w:rPr>
        <w:t>The Assessment cover sheet (if included), Table of contents and Reference list will not count towards your word limit.</w:t>
      </w:r>
    </w:p>
    <w:p w14:paraId="5E34F9F5">
      <w:pPr>
        <w:pStyle w:val="8"/>
        <w:rPr>
          <w:rFonts w:ascii="Arial" w:hAnsi="Arial" w:cs="Arial"/>
          <w:sz w:val="22"/>
          <w:szCs w:val="22"/>
        </w:rPr>
      </w:pPr>
      <w:r>
        <w:rPr>
          <w:rFonts w:ascii="Arial" w:hAnsi="Arial" w:cs="Arial"/>
          <w:sz w:val="22"/>
          <w:szCs w:val="22"/>
        </w:rPr>
        <w:t>Assessment submissions should be in MS Word format. As a CSU student you are entitled to a free copy of Microsoft Office 2016 Suite (Office 365) on up to 5 PCs or Macs and other mobile devices, including Android, iPad and Windows tablets. To find out more information and how to download go to this link: </w:t>
      </w:r>
      <w:r>
        <w:rPr>
          <w:rStyle w:val="14"/>
          <w:rFonts w:ascii="Arial" w:hAnsi="Arial" w:eastAsia="Arial" w:cs="Arial"/>
          <w:sz w:val="22"/>
          <w:szCs w:val="22"/>
        </w:rPr>
        <w:t>https://www.csu.edu.au/division/dit/staff/training/self-help/collaboration-and-communications/office-365</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 xml:space="preserve">The CSU Library provides an online guide to APA 7th ed. style referencing. This is the referencing style adopted by the School of Accounting and Finance. The guide can be found at: </w:t>
      </w:r>
      <w:r>
        <w:fldChar w:fldCharType="begin"/>
      </w:r>
      <w:r>
        <w:instrText xml:space="preserve"> HYPERLINK "https://student.csu.edu.au/learning-skills/referencing" </w:instrText>
      </w:r>
      <w:r>
        <w:fldChar w:fldCharType="separate"/>
      </w:r>
      <w:r>
        <w:rPr>
          <w:rStyle w:val="14"/>
          <w:rFonts w:ascii="Arial" w:hAnsi="Arial" w:cs="Arial"/>
          <w:sz w:val="22"/>
          <w:szCs w:val="22"/>
        </w:rPr>
        <w:t>https://student.csu.edu.au/learning-skills/referencing</w:t>
      </w:r>
      <w:r>
        <w:rPr>
          <w:rStyle w:val="14"/>
          <w:rFonts w:ascii="Arial" w:hAnsi="Arial" w:cs="Arial"/>
          <w:sz w:val="22"/>
          <w:szCs w:val="22"/>
        </w:rPr>
        <w:fldChar w:fldCharType="end"/>
      </w:r>
      <w:r>
        <w:rPr>
          <w:rFonts w:ascii="Arial" w:hAnsi="Arial" w:cs="Arial"/>
          <w:sz w:val="22"/>
          <w:szCs w:val="22"/>
        </w:rPr>
        <w:t> </w:t>
      </w:r>
    </w:p>
    <w:p w14:paraId="5E34F9F6">
      <w:pPr>
        <w:pStyle w:val="8"/>
        <w:rPr>
          <w:rFonts w:ascii="Arial" w:hAnsi="Arial" w:cs="Arial"/>
          <w:sz w:val="22"/>
          <w:szCs w:val="22"/>
        </w:rPr>
      </w:pPr>
      <w:r>
        <w:rPr>
          <w:rFonts w:ascii="Arial" w:hAnsi="Arial" w:cs="Arial"/>
          <w:sz w:val="22"/>
          <w:szCs w:val="22"/>
        </w:rPr>
        <w:t>The CSU Library has also created a Research Skills Guide to assist you with this task. This includes guidance on planning, finding scholarly information, evaluating information and how to write your report. The guide can be found at: </w:t>
      </w:r>
      <w:r>
        <w:fldChar w:fldCharType="begin"/>
      </w:r>
      <w:r>
        <w:instrText xml:space="preserve"> HYPERLINK "https://libguides.csu.edu.au/businessstudies" </w:instrText>
      </w:r>
      <w:r>
        <w:fldChar w:fldCharType="separate"/>
      </w:r>
      <w:r>
        <w:rPr>
          <w:rStyle w:val="14"/>
          <w:rFonts w:ascii="Arial" w:hAnsi="Arial" w:cs="Arial"/>
          <w:sz w:val="22"/>
          <w:szCs w:val="22"/>
        </w:rPr>
        <w:t>https://libguides.csu.edu.au/businessstudies</w:t>
      </w:r>
      <w:r>
        <w:rPr>
          <w:rStyle w:val="14"/>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 xml:space="preserve">Please ensure to complete the footer of your report with your name and student number, and retain a copy of your report for your records. </w:t>
      </w:r>
    </w:p>
    <w:p w14:paraId="1BC718F2">
      <w:pPr>
        <w:pStyle w:val="8"/>
        <w:rPr>
          <w:rFonts w:ascii="Arial" w:hAnsi="Arial" w:cs="Arial"/>
          <w:sz w:val="22"/>
          <w:szCs w:val="22"/>
        </w:rPr>
      </w:pPr>
    </w:p>
    <w:p w14:paraId="5E34F9F7">
      <w:pPr>
        <w:pStyle w:val="3"/>
        <w:spacing w:before="150" w:after="150"/>
        <w:rPr>
          <w:rFonts w:ascii="Arial" w:hAnsi="Arial" w:cs="Arial"/>
          <w:sz w:val="28"/>
          <w:szCs w:val="28"/>
        </w:rPr>
      </w:pPr>
      <w:r>
        <w:rPr>
          <w:rFonts w:ascii="Arial" w:hAnsi="Arial" w:cs="Arial"/>
          <w:sz w:val="28"/>
          <w:szCs w:val="28"/>
        </w:rPr>
        <w:t>Requirements</w:t>
      </w:r>
    </w:p>
    <w:p w14:paraId="5E34F9F8">
      <w:pPr>
        <w:pStyle w:val="8"/>
        <w:rPr>
          <w:rFonts w:ascii="Arial" w:hAnsi="Arial" w:cs="Arial"/>
          <w:sz w:val="22"/>
          <w:szCs w:val="22"/>
        </w:rPr>
      </w:pPr>
      <w:r>
        <w:rPr>
          <w:rFonts w:ascii="Arial" w:hAnsi="Arial" w:cs="Arial"/>
          <w:sz w:val="22"/>
          <w:szCs w:val="22"/>
        </w:rPr>
        <w:t>Turnitin is an electronic originality checking service offered to you and other students of CSU, comparing your assessment to billions of pages of content on the internet, in books, newspapers, scholarly journals, magazines and other student submissions.</w:t>
      </w:r>
    </w:p>
    <w:p w14:paraId="5E34F9F9">
      <w:pPr>
        <w:pStyle w:val="8"/>
        <w:rPr>
          <w:rFonts w:ascii="Arial" w:hAnsi="Arial" w:cs="Arial"/>
          <w:sz w:val="22"/>
          <w:szCs w:val="22"/>
        </w:rPr>
      </w:pPr>
      <w:r>
        <w:rPr>
          <w:rFonts w:ascii="Arial" w:hAnsi="Arial" w:cs="Arial"/>
          <w:sz w:val="22"/>
          <w:szCs w:val="22"/>
        </w:rPr>
        <w:t xml:space="preserve">After you submit this Additional Assessment (AA), Turnitin will be used to check for originality. If you produce a similarity of 25% or higher, your assessment will be investigated for possible plagiarism and / or collusion. If evidence of academic misconduct is found, a Student Academic Misconduct case will be lodged. If you are unsuccessful in defending the allegation(s), penalties imposed will be subject to the </w:t>
      </w:r>
      <w:r>
        <w:fldChar w:fldCharType="begin"/>
      </w:r>
      <w:r>
        <w:instrText xml:space="preserve"> HYPERLINK "https://policy.csu.edu.au/document/view-current.php?id=501" </w:instrText>
      </w:r>
      <w:r>
        <w:fldChar w:fldCharType="separate"/>
      </w:r>
      <w:r>
        <w:rPr>
          <w:rStyle w:val="14"/>
          <w:rFonts w:ascii="Arial" w:hAnsi="Arial" w:cs="Arial"/>
          <w:sz w:val="22"/>
          <w:szCs w:val="22"/>
        </w:rPr>
        <w:t>Student Misconduct Rule 2020</w:t>
      </w:r>
      <w:r>
        <w:rPr>
          <w:rStyle w:val="14"/>
          <w:rFonts w:ascii="Arial" w:hAnsi="Arial" w:cs="Arial"/>
          <w:sz w:val="22"/>
          <w:szCs w:val="22"/>
        </w:rPr>
        <w:fldChar w:fldCharType="end"/>
      </w:r>
      <w:r>
        <w:rPr>
          <w:rFonts w:ascii="Arial" w:hAnsi="Arial" w:cs="Arial"/>
          <w:sz w:val="22"/>
          <w:szCs w:val="22"/>
        </w:rPr>
        <w:t>. The case may also delay your graduation from CSU.  </w:t>
      </w:r>
    </w:p>
    <w:p w14:paraId="5E34F9FA">
      <w:pPr>
        <w:pStyle w:val="8"/>
        <w:rPr>
          <w:rFonts w:ascii="Arial" w:hAnsi="Arial" w:cs="Arial"/>
          <w:sz w:val="22"/>
          <w:szCs w:val="22"/>
        </w:rPr>
      </w:pPr>
      <w:r>
        <w:rPr>
          <w:rStyle w:val="11"/>
          <w:rFonts w:ascii="Arial" w:hAnsi="Arial" w:cs="Arial"/>
          <w:sz w:val="22"/>
          <w:szCs w:val="22"/>
        </w:rPr>
        <w:t>How to reduce your Turnitin similarity and avoid a Student Academic Misconduct investigation:</w:t>
      </w:r>
    </w:p>
    <w:p w14:paraId="5E34F9FB">
      <w:pPr>
        <w:pStyle w:val="8"/>
        <w:ind w:left="300"/>
        <w:rPr>
          <w:rFonts w:ascii="Arial" w:hAnsi="Arial" w:cs="Arial"/>
          <w:sz w:val="22"/>
          <w:szCs w:val="22"/>
        </w:rPr>
      </w:pPr>
      <w:r>
        <w:rPr>
          <w:rStyle w:val="11"/>
          <w:rFonts w:ascii="Arial" w:hAnsi="Arial" w:cs="Arial"/>
          <w:sz w:val="22"/>
          <w:szCs w:val="22"/>
        </w:rPr>
        <w:t>1) </w:t>
      </w:r>
      <w:r>
        <w:rPr>
          <w:rFonts w:ascii="Arial" w:hAnsi="Arial" w:cs="Arial"/>
          <w:sz w:val="22"/>
          <w:szCs w:val="22"/>
        </w:rPr>
        <w:t>Complete your own assessment. Do not share the work you have produced with other students.</w:t>
      </w:r>
      <w:r>
        <w:rPr>
          <w:rFonts w:ascii="Arial" w:hAnsi="Arial" w:cs="Arial"/>
          <w:sz w:val="22"/>
          <w:szCs w:val="22"/>
        </w:rPr>
        <w:br w:type="textWrapping"/>
      </w:r>
      <w:r>
        <w:rPr>
          <w:rFonts w:ascii="Arial" w:hAnsi="Arial" w:cs="Arial"/>
          <w:sz w:val="22"/>
          <w:szCs w:val="22"/>
        </w:rPr>
        <w:br w:type="textWrapping"/>
      </w:r>
      <w:r>
        <w:rPr>
          <w:rStyle w:val="11"/>
          <w:rFonts w:ascii="Arial" w:hAnsi="Arial" w:cs="Arial"/>
          <w:sz w:val="22"/>
          <w:szCs w:val="22"/>
        </w:rPr>
        <w:t>2) </w:t>
      </w:r>
      <w:r>
        <w:rPr>
          <w:rFonts w:ascii="Arial" w:hAnsi="Arial" w:cs="Arial"/>
          <w:sz w:val="22"/>
          <w:szCs w:val="22"/>
        </w:rPr>
        <w:t>Paraphrase the original sources rather than quoting them directly. Effective paraphrasing will lower your Turnitin similarity score, increase your understanding, improve the flow of your writing, allow you to focus more acutely on responding to the actual question asked, and demonstrate your knowledge and skills so you receive a higher mark.</w:t>
      </w:r>
      <w:r>
        <w:rPr>
          <w:rFonts w:ascii="Arial" w:hAnsi="Arial" w:cs="Arial"/>
          <w:sz w:val="22"/>
          <w:szCs w:val="22"/>
        </w:rPr>
        <w:br w:type="textWrapping"/>
      </w:r>
      <w:r>
        <w:rPr>
          <w:rFonts w:ascii="Arial" w:hAnsi="Arial" w:cs="Arial"/>
          <w:sz w:val="22"/>
          <w:szCs w:val="22"/>
        </w:rPr>
        <w:br w:type="textWrapping"/>
      </w:r>
      <w:r>
        <w:rPr>
          <w:rStyle w:val="11"/>
          <w:rFonts w:ascii="Arial" w:hAnsi="Arial" w:cs="Arial"/>
          <w:sz w:val="22"/>
          <w:szCs w:val="22"/>
        </w:rPr>
        <w:t>3)</w:t>
      </w:r>
      <w:r>
        <w:rPr>
          <w:rFonts w:ascii="Arial" w:hAnsi="Arial" w:cs="Arial"/>
          <w:sz w:val="22"/>
          <w:szCs w:val="22"/>
        </w:rPr>
        <w:t> Acknowledge all material sourced by providing traceable, credible in-text citations and a reference list that conforms with </w:t>
      </w:r>
      <w:r>
        <w:fldChar w:fldCharType="begin"/>
      </w:r>
      <w:r>
        <w:instrText xml:space="preserve"> HYPERLINK "https://student.csu.edu.au/learning-skills/referencing" \t "_blank" </w:instrText>
      </w:r>
      <w:r>
        <w:fldChar w:fldCharType="separate"/>
      </w:r>
      <w:r>
        <w:rPr>
          <w:rStyle w:val="14"/>
          <w:rFonts w:ascii="Arial" w:hAnsi="Arial" w:eastAsia="Arial" w:cs="Arial"/>
          <w:sz w:val="22"/>
          <w:szCs w:val="22"/>
        </w:rPr>
        <w:t>APA 7th ed. Style</w:t>
      </w:r>
      <w:r>
        <w:rPr>
          <w:rStyle w:val="14"/>
          <w:rFonts w:ascii="Arial" w:hAnsi="Arial" w:eastAsia="Arial" w:cs="Arial"/>
          <w:sz w:val="22"/>
          <w:szCs w:val="22"/>
        </w:rPr>
        <w:fldChar w:fldCharType="end"/>
      </w:r>
      <w:r>
        <w:rPr>
          <w:rFonts w:ascii="Arial" w:hAnsi="Arial" w:cs="Arial"/>
          <w:sz w:val="22"/>
          <w:szCs w:val="22"/>
        </w:rPr>
        <w:t>.</w:t>
      </w:r>
      <w:r>
        <w:rPr>
          <w:rFonts w:ascii="Arial" w:hAnsi="Arial" w:cs="Arial"/>
          <w:sz w:val="22"/>
          <w:szCs w:val="22"/>
        </w:rPr>
        <w:br w:type="textWrapping"/>
      </w:r>
      <w:r>
        <w:rPr>
          <w:rFonts w:ascii="Arial" w:hAnsi="Arial" w:cs="Arial"/>
          <w:sz w:val="22"/>
          <w:szCs w:val="22"/>
        </w:rPr>
        <w:br w:type="textWrapping"/>
      </w:r>
      <w:r>
        <w:rPr>
          <w:rStyle w:val="11"/>
          <w:rFonts w:ascii="Arial" w:hAnsi="Arial" w:cs="Arial"/>
          <w:sz w:val="22"/>
          <w:szCs w:val="22"/>
        </w:rPr>
        <w:t>4)</w:t>
      </w:r>
      <w:r>
        <w:rPr>
          <w:rFonts w:ascii="Arial" w:hAnsi="Arial" w:cs="Arial"/>
          <w:sz w:val="22"/>
          <w:szCs w:val="22"/>
        </w:rPr>
        <w:t xml:space="preserve"> Use Turnitin to pre-check your writing, detect similarity and revise your assessment. Instructions on how to create an account and use Turnitin can be found here: </w:t>
      </w:r>
      <w:r>
        <w:fldChar w:fldCharType="begin"/>
      </w:r>
      <w:r>
        <w:instrText xml:space="preserve"> HYPERLINK "https://www.csu.edu.au/current-students/studying/assignments-and-exams/assignments/plagiarism" </w:instrText>
      </w:r>
      <w:r>
        <w:fldChar w:fldCharType="separate"/>
      </w:r>
      <w:r>
        <w:rPr>
          <w:rStyle w:val="14"/>
          <w:rFonts w:ascii="Arial" w:hAnsi="Arial" w:cs="Arial"/>
          <w:sz w:val="22"/>
          <w:szCs w:val="22"/>
        </w:rPr>
        <w:t>https://www.csu.edu.au/current-students/studying/assignments-and-exams/assignments/plagiarism</w:t>
      </w:r>
      <w:r>
        <w:rPr>
          <w:rStyle w:val="14"/>
          <w:rFonts w:ascii="Arial" w:hAnsi="Arial" w:cs="Arial"/>
          <w:sz w:val="22"/>
          <w:szCs w:val="22"/>
        </w:rPr>
        <w:fldChar w:fldCharType="end"/>
      </w:r>
      <w:r>
        <w:rPr>
          <w:rFonts w:ascii="Arial" w:hAnsi="Arial" w:cs="Arial"/>
          <w:sz w:val="22"/>
          <w:szCs w:val="22"/>
        </w:rPr>
        <w:t xml:space="preserve"> </w:t>
      </w:r>
      <w:r>
        <w:t xml:space="preserve"> </w:t>
      </w:r>
    </w:p>
    <w:p w14:paraId="5E34F9FC">
      <w:pPr>
        <w:pStyle w:val="8"/>
        <w:rPr>
          <w:rFonts w:ascii="Arial" w:hAnsi="Arial" w:cs="Arial"/>
          <w:sz w:val="22"/>
          <w:szCs w:val="22"/>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ptos">
    <w:altName w:val="Segoe Print"/>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FA03">
    <w:pPr>
      <w:pStyle w:val="6"/>
      <w:rPr>
        <w:rFonts w:ascii="Arial" w:hAnsi="Arial" w:cs="Arial"/>
        <w:sz w:val="20"/>
        <w:szCs w:val="20"/>
      </w:rPr>
    </w:pPr>
    <w:r>
      <w:rPr>
        <w:rFonts w:ascii="Arial" w:hAnsi="Arial" w:cs="Arial"/>
        <w:sz w:val="20"/>
        <w:szCs w:val="20"/>
      </w:rPr>
      <w:t>ACC384 202530</w:t>
    </w:r>
    <w:r>
      <w:rPr>
        <w:rFonts w:ascii="Arial" w:hAnsi="Arial" w:cs="Arial"/>
        <w:sz w:val="20"/>
        <w:szCs w:val="20"/>
      </w:rPr>
      <w:tab/>
    </w:r>
    <w:r>
      <w:rPr>
        <w:rFonts w:ascii="Arial" w:hAnsi="Arial" w:cs="Arial"/>
        <w:sz w:val="20"/>
        <w:szCs w:val="20"/>
      </w:rPr>
      <w:t>Additional Assessment (AA)</w:t>
    </w:r>
    <w:r>
      <w:rPr>
        <w:rFonts w:ascii="Arial" w:hAnsi="Arial" w:cs="Arial"/>
        <w:sz w:val="20"/>
        <w:szCs w:val="20"/>
      </w:rPr>
      <w:tab/>
    </w:r>
    <w:r>
      <w:rPr>
        <w:rFonts w:ascii="Arial" w:hAnsi="Arial" w:cs="Arial"/>
        <w:sz w:val="20"/>
        <w:szCs w:val="20"/>
      </w:rPr>
      <w:t>10/06/2025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szCs w:val="20"/>
      </w:rPr>
      <w:id w:val="-1318336367"/>
      <w:docPartObj>
        <w:docPartGallery w:val="AutoText"/>
      </w:docPartObj>
    </w:sdtPr>
    <w:sdtEndPr>
      <w:rPr>
        <w:rFonts w:ascii="Arial" w:hAnsi="Arial" w:cs="Arial"/>
        <w:sz w:val="20"/>
        <w:szCs w:val="20"/>
      </w:rPr>
    </w:sdtEndPr>
    <w:sdtContent>
      <w:p w14:paraId="5E34FA01">
        <w:pPr>
          <w:pStyle w:val="7"/>
          <w:jc w:val="right"/>
          <w:rPr>
            <w:rFonts w:ascii="Arial" w:hAnsi="Arial" w:cs="Arial"/>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6</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7</w:t>
        </w:r>
        <w:r>
          <w:rPr>
            <w:rFonts w:ascii="Arial" w:hAnsi="Arial" w:cs="Arial"/>
            <w:b/>
            <w:bCs/>
            <w:sz w:val="20"/>
            <w:szCs w:val="20"/>
          </w:rPr>
          <w:fldChar w:fldCharType="end"/>
        </w:r>
      </w:p>
    </w:sdtContent>
  </w:sdt>
  <w:p w14:paraId="5E34FA02">
    <w:pPr>
      <w:pStyle w:val="7"/>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A5C1C"/>
    <w:multiLevelType w:val="multilevel"/>
    <w:tmpl w:val="01BA5C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E04CE4"/>
    <w:multiLevelType w:val="multilevel"/>
    <w:tmpl w:val="03E04C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683799"/>
    <w:multiLevelType w:val="multilevel"/>
    <w:tmpl w:val="1A6837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41630B3"/>
    <w:multiLevelType w:val="multilevel"/>
    <w:tmpl w:val="441630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82E468F"/>
    <w:multiLevelType w:val="multilevel"/>
    <w:tmpl w:val="482E46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6D83844"/>
    <w:multiLevelType w:val="multilevel"/>
    <w:tmpl w:val="66D838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B8"/>
    <w:rsid w:val="00057E96"/>
    <w:rsid w:val="00096326"/>
    <w:rsid w:val="000C2A89"/>
    <w:rsid w:val="000C39F7"/>
    <w:rsid w:val="000C7DFA"/>
    <w:rsid w:val="00132FE0"/>
    <w:rsid w:val="00155823"/>
    <w:rsid w:val="001A7C84"/>
    <w:rsid w:val="001B1E81"/>
    <w:rsid w:val="001C185B"/>
    <w:rsid w:val="001E6FA5"/>
    <w:rsid w:val="00285098"/>
    <w:rsid w:val="00296D4F"/>
    <w:rsid w:val="002A45B2"/>
    <w:rsid w:val="002E0D8D"/>
    <w:rsid w:val="003146EA"/>
    <w:rsid w:val="003150BC"/>
    <w:rsid w:val="003C6B9F"/>
    <w:rsid w:val="003E5E57"/>
    <w:rsid w:val="00407F69"/>
    <w:rsid w:val="00465127"/>
    <w:rsid w:val="0048126E"/>
    <w:rsid w:val="004864E1"/>
    <w:rsid w:val="004B2470"/>
    <w:rsid w:val="004E2470"/>
    <w:rsid w:val="005A7D0C"/>
    <w:rsid w:val="0060383C"/>
    <w:rsid w:val="006108C8"/>
    <w:rsid w:val="0061194F"/>
    <w:rsid w:val="00665197"/>
    <w:rsid w:val="0067560F"/>
    <w:rsid w:val="006914BB"/>
    <w:rsid w:val="00702BA7"/>
    <w:rsid w:val="00711113"/>
    <w:rsid w:val="00765E84"/>
    <w:rsid w:val="007766F6"/>
    <w:rsid w:val="007F7BAA"/>
    <w:rsid w:val="0087284B"/>
    <w:rsid w:val="00875554"/>
    <w:rsid w:val="008C0062"/>
    <w:rsid w:val="008C3485"/>
    <w:rsid w:val="0096430C"/>
    <w:rsid w:val="00970BB8"/>
    <w:rsid w:val="009B1B29"/>
    <w:rsid w:val="009E5E98"/>
    <w:rsid w:val="00A36A76"/>
    <w:rsid w:val="00A37E92"/>
    <w:rsid w:val="00A534A9"/>
    <w:rsid w:val="00A66169"/>
    <w:rsid w:val="00AA3ADD"/>
    <w:rsid w:val="00AB3F33"/>
    <w:rsid w:val="00B1270F"/>
    <w:rsid w:val="00B7296B"/>
    <w:rsid w:val="00B73929"/>
    <w:rsid w:val="00BF7279"/>
    <w:rsid w:val="00C76FE8"/>
    <w:rsid w:val="00C963B4"/>
    <w:rsid w:val="00CD12B2"/>
    <w:rsid w:val="00CD3E92"/>
    <w:rsid w:val="00CD5082"/>
    <w:rsid w:val="00CF4517"/>
    <w:rsid w:val="00D52FAE"/>
    <w:rsid w:val="00D76F5F"/>
    <w:rsid w:val="00DA7B5A"/>
    <w:rsid w:val="00DB2F94"/>
    <w:rsid w:val="00DC142A"/>
    <w:rsid w:val="00E23943"/>
    <w:rsid w:val="00E9319A"/>
    <w:rsid w:val="00ED32EA"/>
    <w:rsid w:val="00F24C5D"/>
    <w:rsid w:val="00F419FD"/>
    <w:rsid w:val="00F51643"/>
    <w:rsid w:val="00F62467"/>
    <w:rsid w:val="00F66073"/>
    <w:rsid w:val="00F7476C"/>
    <w:rsid w:val="00FB228B"/>
    <w:rsid w:val="00FD3849"/>
    <w:rsid w:val="00FD6F5F"/>
    <w:rsid w:val="00FE603C"/>
    <w:rsid w:val="52DB4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2"/>
    <w:basedOn w:val="1"/>
    <w:link w:val="15"/>
    <w:qFormat/>
    <w:uiPriority w:val="1"/>
    <w:pPr>
      <w:ind w:left="117"/>
      <w:outlineLvl w:val="1"/>
    </w:pPr>
    <w:rPr>
      <w:rFonts w:ascii="Arial" w:hAnsi="Arial" w:eastAsia="Arial"/>
      <w:b/>
      <w:bCs/>
      <w:sz w:val="28"/>
      <w:szCs w:val="28"/>
    </w:rPr>
  </w:style>
  <w:style w:type="paragraph" w:styleId="3">
    <w:name w:val="heading 4"/>
    <w:basedOn w:val="1"/>
    <w:link w:val="16"/>
    <w:qFormat/>
    <w:uiPriority w:val="1"/>
    <w:pPr>
      <w:ind w:left="117"/>
      <w:outlineLvl w:val="3"/>
    </w:pPr>
    <w:rPr>
      <w:rFonts w:ascii="Times New Roman" w:hAnsi="Times New Roman" w:eastAsia="Times New Roman"/>
      <w:b/>
      <w:bCs/>
    </w:rPr>
  </w:style>
  <w:style w:type="paragraph" w:styleId="4">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17"/>
    <w:qFormat/>
    <w:uiPriority w:val="1"/>
    <w:pPr>
      <w:ind w:left="117"/>
    </w:pPr>
    <w:rPr>
      <w:rFonts w:ascii="Times New Roman" w:hAnsi="Times New Roman" w:eastAsia="Times New Roman"/>
    </w:rPr>
  </w:style>
  <w:style w:type="paragraph" w:styleId="6">
    <w:name w:val="footer"/>
    <w:basedOn w:val="1"/>
    <w:link w:val="21"/>
    <w:unhideWhenUsed/>
    <w:uiPriority w:val="99"/>
    <w:pPr>
      <w:tabs>
        <w:tab w:val="center" w:pos="4513"/>
        <w:tab w:val="right" w:pos="9026"/>
      </w:tabs>
    </w:pPr>
  </w:style>
  <w:style w:type="paragraph" w:styleId="7">
    <w:name w:val="header"/>
    <w:basedOn w:val="1"/>
    <w:link w:val="20"/>
    <w:unhideWhenUsed/>
    <w:uiPriority w:val="99"/>
    <w:pPr>
      <w:tabs>
        <w:tab w:val="center" w:pos="4513"/>
        <w:tab w:val="right" w:pos="9026"/>
      </w:tabs>
    </w:pPr>
  </w:style>
  <w:style w:type="paragraph" w:styleId="8">
    <w:name w:val="Normal (Web)"/>
    <w:basedOn w:val="1"/>
    <w:semiHidden/>
    <w:unhideWhenUsed/>
    <w:uiPriority w:val="99"/>
    <w:pPr>
      <w:widowControl/>
      <w:spacing w:before="100" w:beforeAutospacing="1" w:after="100" w:afterAutospacing="1"/>
    </w:pPr>
    <w:rPr>
      <w:rFonts w:ascii="Times New Roman" w:hAnsi="Times New Roman" w:eastAsia="Times New Roman" w:cs="Times New Roman"/>
      <w:sz w:val="24"/>
      <w:szCs w:val="24"/>
      <w:lang w:val="en-AU" w:eastAsia="en-AU"/>
    </w:rPr>
  </w:style>
  <w:style w:type="character" w:styleId="11">
    <w:name w:val="Strong"/>
    <w:basedOn w:val="10"/>
    <w:qFormat/>
    <w:uiPriority w:val="22"/>
    <w:rPr>
      <w:b/>
      <w:bCs/>
    </w:rPr>
  </w:style>
  <w:style w:type="character" w:styleId="12">
    <w:name w:val="FollowedHyperlink"/>
    <w:basedOn w:val="10"/>
    <w:semiHidden/>
    <w:unhideWhenUsed/>
    <w:uiPriority w:val="99"/>
    <w:rPr>
      <w:color w:val="954F72" w:themeColor="followedHyperlink"/>
      <w:u w:val="single"/>
      <w14:textFill>
        <w14:solidFill>
          <w14:schemeClr w14:val="folHlink"/>
        </w14:solidFill>
      </w14:textFill>
    </w:rPr>
  </w:style>
  <w:style w:type="character" w:styleId="13">
    <w:name w:val="Emphasis"/>
    <w:basedOn w:val="10"/>
    <w:qFormat/>
    <w:uiPriority w:val="20"/>
    <w:rPr>
      <w:i/>
      <w:iCs/>
    </w:rPr>
  </w:style>
  <w:style w:type="character" w:styleId="14">
    <w:name w:val="Hyperlink"/>
    <w:basedOn w:val="10"/>
    <w:unhideWhenUsed/>
    <w:uiPriority w:val="99"/>
    <w:rPr>
      <w:color w:val="0563C1" w:themeColor="hyperlink"/>
      <w:u w:val="single"/>
      <w14:textFill>
        <w14:solidFill>
          <w14:schemeClr w14:val="hlink"/>
        </w14:solidFill>
      </w14:textFill>
    </w:rPr>
  </w:style>
  <w:style w:type="character" w:customStyle="1" w:styleId="15">
    <w:name w:val="Heading 2 Char"/>
    <w:basedOn w:val="10"/>
    <w:link w:val="2"/>
    <w:uiPriority w:val="1"/>
    <w:rPr>
      <w:rFonts w:ascii="Arial" w:hAnsi="Arial" w:eastAsia="Arial"/>
      <w:b/>
      <w:bCs/>
      <w:sz w:val="28"/>
      <w:szCs w:val="28"/>
      <w:lang w:val="en-US"/>
    </w:rPr>
  </w:style>
  <w:style w:type="character" w:customStyle="1" w:styleId="16">
    <w:name w:val="Heading 4 Char"/>
    <w:basedOn w:val="10"/>
    <w:link w:val="3"/>
    <w:uiPriority w:val="1"/>
    <w:rPr>
      <w:rFonts w:ascii="Times New Roman" w:hAnsi="Times New Roman" w:eastAsia="Times New Roman"/>
      <w:b/>
      <w:bCs/>
      <w:lang w:val="en-US"/>
    </w:rPr>
  </w:style>
  <w:style w:type="character" w:customStyle="1" w:styleId="17">
    <w:name w:val="Body Text Char"/>
    <w:basedOn w:val="10"/>
    <w:link w:val="5"/>
    <w:uiPriority w:val="1"/>
    <w:rPr>
      <w:rFonts w:ascii="Times New Roman" w:hAnsi="Times New Roman" w:eastAsia="Times New Roman"/>
      <w:lang w:val="en-US"/>
    </w:rPr>
  </w:style>
  <w:style w:type="paragraph" w:customStyle="1" w:styleId="18">
    <w:name w:val="learning-outcomes-stem-text"/>
    <w:basedOn w:val="1"/>
    <w:uiPriority w:val="0"/>
    <w:pPr>
      <w:widowControl/>
      <w:spacing w:before="100" w:beforeAutospacing="1" w:after="100" w:afterAutospacing="1"/>
    </w:pPr>
    <w:rPr>
      <w:rFonts w:ascii="Times New Roman" w:hAnsi="Times New Roman" w:eastAsia="Times New Roman" w:cs="Times New Roman"/>
      <w:sz w:val="24"/>
      <w:szCs w:val="24"/>
      <w:lang w:val="en-AU" w:eastAsia="en-AU"/>
    </w:rPr>
  </w:style>
  <w:style w:type="paragraph" w:customStyle="1" w:styleId="19">
    <w:name w:val="stylenotefooter"/>
    <w:basedOn w:val="1"/>
    <w:uiPriority w:val="0"/>
    <w:pPr>
      <w:widowControl/>
      <w:spacing w:before="100" w:beforeAutospacing="1" w:after="100" w:afterAutospacing="1"/>
    </w:pPr>
    <w:rPr>
      <w:rFonts w:ascii="Times New Roman" w:hAnsi="Times New Roman" w:eastAsia="Times New Roman" w:cs="Times New Roman"/>
      <w:sz w:val="24"/>
      <w:szCs w:val="24"/>
      <w:lang w:val="en-AU" w:eastAsia="en-AU"/>
    </w:rPr>
  </w:style>
  <w:style w:type="character" w:customStyle="1" w:styleId="20">
    <w:name w:val="Header Char"/>
    <w:basedOn w:val="10"/>
    <w:link w:val="7"/>
    <w:uiPriority w:val="99"/>
    <w:rPr>
      <w:lang w:val="en-US"/>
    </w:rPr>
  </w:style>
  <w:style w:type="character" w:customStyle="1" w:styleId="21">
    <w:name w:val="Footer Char"/>
    <w:basedOn w:val="10"/>
    <w:link w:val="6"/>
    <w:uiPriority w:val="99"/>
    <w:rPr>
      <w:lang w:val="en-US"/>
    </w:rPr>
  </w:style>
  <w:style w:type="character" w:customStyle="1" w:styleId="22">
    <w:name w:val="Heading 5 Char"/>
    <w:basedOn w:val="10"/>
    <w:link w:val="4"/>
    <w:semiHidden/>
    <w:uiPriority w:val="9"/>
    <w:rPr>
      <w:rFonts w:asciiTheme="majorHAnsi" w:hAnsiTheme="majorHAnsi" w:eastAsiaTheme="majorEastAsia" w:cstheme="majorBidi"/>
      <w:color w:val="2E75B6" w:themeColor="accent1" w:themeShade="BF"/>
      <w:lang w:val="en-US"/>
    </w:rPr>
  </w:style>
  <w:style w:type="paragraph" w:customStyle="1" w:styleId="23">
    <w:name w:val="learning-outcomes-stem-paragraph"/>
    <w:basedOn w:val="1"/>
    <w:uiPriority w:val="0"/>
    <w:pPr>
      <w:widowControl/>
      <w:spacing w:before="100" w:beforeAutospacing="1" w:after="100" w:afterAutospacing="1"/>
    </w:pPr>
    <w:rPr>
      <w:rFonts w:ascii="Times New Roman" w:hAnsi="Times New Roman" w:eastAsia="Times New Roman" w:cs="Times New Roman"/>
      <w:sz w:val="24"/>
      <w:szCs w:val="24"/>
      <w:lang w:val="en-AU" w:eastAsia="en-AU"/>
    </w:rPr>
  </w:style>
  <w:style w:type="paragraph" w:styleId="24">
    <w:name w:val="List Paragraph"/>
    <w:basedOn w:val="1"/>
    <w:qFormat/>
    <w:uiPriority w:val="34"/>
    <w:pPr>
      <w:widowControl/>
      <w:ind w:left="720"/>
      <w:contextualSpacing/>
    </w:pPr>
    <w:rPr>
      <w:rFonts w:ascii="Helvetica" w:hAnsi="Helvetica" w:eastAsia="Times New Roman" w:cs="Times New Roman"/>
      <w:sz w:val="20"/>
      <w:szCs w:val="20"/>
      <w:lang w:val="en-GB" w:eastAsia="en-AU"/>
    </w:rPr>
  </w:style>
  <w:style w:type="character" w:customStyle="1" w:styleId="25">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Charles Sturt University</Company>
  <Pages>6</Pages>
  <Words>1691</Words>
  <Characters>9789</Characters>
  <Lines>86</Lines>
  <Paragraphs>24</Paragraphs>
  <TotalTime>1</TotalTime>
  <ScaleCrop>false</ScaleCrop>
  <LinksUpToDate>false</LinksUpToDate>
  <CharactersWithSpaces>11400</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2025-06-10T01:47:00Z</dcterms:created>
  <dc:creator>Berry, Emmett</dc:creator>
  <cp:lastModifiedBy>鲁源</cp:lastModifiedBy>
  <cp:lastPrinted>2023-07-10T15:12:00Z</cp:lastPrinted>
  <dcterms:modified xsi:type="dcterms:W3CDTF">2025-06-10T06:21:07Z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EB3F63A30EF24169A8BAF380A970BE78_12</vt:lpwstr>
  </property>
</Properties>
</file>