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3D6B6" w14:textId="393FE9BE" w:rsidR="00F476AE" w:rsidRPr="00A108C5" w:rsidRDefault="00F476AE" w:rsidP="009617BE">
      <w:pPr>
        <w:jc w:val="center"/>
        <w:rPr>
          <w:rFonts w:asciiTheme="minorHAnsi" w:hAnsiTheme="minorHAnsi" w:cstheme="minorHAnsi"/>
          <w:b/>
          <w:u w:val="single"/>
        </w:rPr>
      </w:pPr>
      <w:r w:rsidRPr="00A108C5">
        <w:rPr>
          <w:rFonts w:asciiTheme="minorHAnsi" w:hAnsiTheme="minorHAnsi" w:cstheme="minorHAnsi"/>
          <w:b/>
          <w:u w:val="single"/>
        </w:rPr>
        <w:t>MGT38</w:t>
      </w:r>
      <w:r w:rsidR="00D440A1" w:rsidRPr="00A108C5">
        <w:rPr>
          <w:rFonts w:asciiTheme="minorHAnsi" w:hAnsiTheme="minorHAnsi" w:cstheme="minorHAnsi"/>
          <w:b/>
          <w:u w:val="single"/>
        </w:rPr>
        <w:t>7</w:t>
      </w:r>
      <w:r w:rsidR="009617BE" w:rsidRPr="00A108C5">
        <w:rPr>
          <w:rFonts w:asciiTheme="minorHAnsi" w:hAnsiTheme="minorHAnsi" w:cstheme="minorHAnsi"/>
          <w:b/>
          <w:u w:val="single"/>
        </w:rPr>
        <w:t xml:space="preserve"> 2021</w:t>
      </w:r>
      <w:r w:rsidR="00581081">
        <w:rPr>
          <w:rFonts w:asciiTheme="minorHAnsi" w:hAnsiTheme="minorHAnsi" w:cstheme="minorHAnsi"/>
          <w:b/>
          <w:u w:val="single"/>
        </w:rPr>
        <w:t>75</w:t>
      </w:r>
      <w:proofErr w:type="gramStart"/>
      <w:r w:rsidR="009617BE" w:rsidRPr="00A108C5">
        <w:rPr>
          <w:rFonts w:asciiTheme="minorHAnsi" w:hAnsiTheme="minorHAnsi" w:cstheme="minorHAnsi"/>
          <w:b/>
          <w:u w:val="single"/>
        </w:rPr>
        <w:t>A</w:t>
      </w:r>
      <w:r w:rsidRPr="00A108C5">
        <w:rPr>
          <w:rFonts w:asciiTheme="minorHAnsi" w:hAnsiTheme="minorHAnsi" w:cstheme="minorHAnsi"/>
          <w:b/>
          <w:u w:val="single"/>
        </w:rPr>
        <w:t xml:space="preserve">  </w:t>
      </w:r>
      <w:r w:rsidR="00581081">
        <w:rPr>
          <w:rFonts w:asciiTheme="minorHAnsi" w:hAnsiTheme="minorHAnsi" w:cstheme="minorHAnsi"/>
          <w:b/>
          <w:u w:val="single"/>
        </w:rPr>
        <w:t>-</w:t>
      </w:r>
      <w:proofErr w:type="gramEnd"/>
      <w:r w:rsidRPr="00A108C5">
        <w:rPr>
          <w:rFonts w:asciiTheme="minorHAnsi" w:hAnsiTheme="minorHAnsi" w:cstheme="minorHAnsi"/>
          <w:b/>
          <w:u w:val="single"/>
        </w:rPr>
        <w:t xml:space="preserve"> </w:t>
      </w:r>
      <w:r w:rsidR="0099279F" w:rsidRPr="00A108C5">
        <w:rPr>
          <w:rFonts w:asciiTheme="minorHAnsi" w:hAnsiTheme="minorHAnsi" w:cstheme="minorHAnsi"/>
          <w:b/>
          <w:u w:val="single"/>
        </w:rPr>
        <w:t>Additional Assignment</w:t>
      </w:r>
    </w:p>
    <w:p w14:paraId="5370CDB2" w14:textId="77777777" w:rsidR="0099279F" w:rsidRDefault="0099279F">
      <w:pPr>
        <w:rPr>
          <w:rFonts w:asciiTheme="minorHAnsi" w:hAnsiTheme="minorHAnsi" w:cstheme="minorHAnsi"/>
          <w:b/>
        </w:rPr>
      </w:pPr>
    </w:p>
    <w:p w14:paraId="29900DBE" w14:textId="5B0C3D6F" w:rsidR="0099279F" w:rsidRDefault="00AA4774" w:rsidP="0099279F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Due date: </w:t>
      </w:r>
      <w:r w:rsidR="00051B7D">
        <w:rPr>
          <w:rFonts w:asciiTheme="minorHAnsi" w:hAnsiTheme="minorHAnsi"/>
          <w:b/>
          <w:bCs/>
        </w:rPr>
        <w:t>30</w:t>
      </w:r>
      <w:r w:rsidR="00051B7D" w:rsidRPr="00051B7D">
        <w:rPr>
          <w:rFonts w:asciiTheme="minorHAnsi" w:hAnsiTheme="minorHAnsi"/>
          <w:b/>
          <w:bCs/>
          <w:vertAlign w:val="superscript"/>
        </w:rPr>
        <w:t>th</w:t>
      </w:r>
      <w:r w:rsidR="00051B7D">
        <w:rPr>
          <w:rFonts w:asciiTheme="minorHAnsi" w:hAnsiTheme="minorHAnsi"/>
          <w:b/>
          <w:bCs/>
        </w:rPr>
        <w:t xml:space="preserve"> December</w:t>
      </w:r>
      <w:r w:rsidR="0099279F">
        <w:rPr>
          <w:rFonts w:asciiTheme="minorHAnsi" w:hAnsiTheme="minorHAnsi"/>
          <w:b/>
          <w:bCs/>
        </w:rPr>
        <w:t xml:space="preserve"> 202</w:t>
      </w:r>
      <w:r>
        <w:rPr>
          <w:rFonts w:asciiTheme="minorHAnsi" w:hAnsiTheme="minorHAnsi"/>
          <w:b/>
          <w:bCs/>
        </w:rPr>
        <w:t>1</w:t>
      </w:r>
    </w:p>
    <w:p w14:paraId="166BF0F7" w14:textId="58EDA9AA" w:rsidR="0099279F" w:rsidRDefault="0099279F" w:rsidP="0099279F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>Length:</w:t>
      </w:r>
      <w:r w:rsidR="009617BE">
        <w:rPr>
          <w:rFonts w:asciiTheme="minorHAnsi" w:hAnsiTheme="minorHAnsi"/>
        </w:rPr>
        <w:t xml:space="preserve"> 2,</w:t>
      </w:r>
      <w:r w:rsidR="00051B7D">
        <w:rPr>
          <w:rFonts w:asciiTheme="minorHAnsi" w:hAnsiTheme="minorHAnsi"/>
        </w:rPr>
        <w:t>5</w:t>
      </w:r>
      <w:r>
        <w:rPr>
          <w:rFonts w:asciiTheme="minorHAnsi" w:hAnsiTheme="minorHAnsi"/>
        </w:rPr>
        <w:t>00 Words</w:t>
      </w:r>
    </w:p>
    <w:p w14:paraId="4607FD63" w14:textId="6ADDC153" w:rsidR="0099279F" w:rsidRDefault="00945651" w:rsidP="0099279F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Submission: EASTS – </w:t>
      </w:r>
      <w:r w:rsidRPr="00945651">
        <w:rPr>
          <w:rFonts w:asciiTheme="minorHAnsi" w:hAnsiTheme="minorHAnsi"/>
          <w:bCs/>
        </w:rPr>
        <w:t>submit to ‘</w:t>
      </w:r>
      <w:r w:rsidR="00051B7D">
        <w:rPr>
          <w:rFonts w:asciiTheme="minorHAnsi" w:hAnsiTheme="minorHAnsi"/>
          <w:bCs/>
        </w:rPr>
        <w:t xml:space="preserve">Assignment item 2 - </w:t>
      </w:r>
      <w:r w:rsidRPr="00945651">
        <w:rPr>
          <w:rFonts w:asciiTheme="minorHAnsi" w:hAnsiTheme="minorHAnsi"/>
          <w:bCs/>
        </w:rPr>
        <w:t>Report</w:t>
      </w:r>
      <w:r w:rsidR="00051B7D">
        <w:rPr>
          <w:rFonts w:asciiTheme="minorHAnsi" w:hAnsiTheme="minorHAnsi"/>
          <w:bCs/>
        </w:rPr>
        <w:t xml:space="preserve">’ </w:t>
      </w:r>
      <w:r>
        <w:rPr>
          <w:rFonts w:asciiTheme="minorHAnsi" w:hAnsiTheme="minorHAnsi"/>
          <w:bCs/>
        </w:rPr>
        <w:t>–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Cs/>
        </w:rPr>
        <w:t xml:space="preserve">do not delete the existing file, just upload the new file for the Additional Assignment. </w:t>
      </w:r>
      <w:r w:rsidR="00C40410">
        <w:rPr>
          <w:rFonts w:asciiTheme="minorHAnsi" w:hAnsiTheme="minorHAnsi"/>
          <w:bCs/>
        </w:rPr>
        <w:t xml:space="preserve"> </w:t>
      </w:r>
    </w:p>
    <w:p w14:paraId="3B9087A5" w14:textId="77777777" w:rsidR="0099279F" w:rsidRDefault="0099279F">
      <w:pPr>
        <w:rPr>
          <w:rFonts w:asciiTheme="minorHAnsi" w:hAnsiTheme="minorHAnsi" w:cstheme="minorHAnsi"/>
          <w:b/>
        </w:rPr>
      </w:pPr>
    </w:p>
    <w:p w14:paraId="32B0A620" w14:textId="77777777" w:rsidR="0099279F" w:rsidRPr="00B130D6" w:rsidRDefault="0099279F" w:rsidP="009927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130D6">
        <w:rPr>
          <w:rFonts w:asciiTheme="minorHAnsi" w:hAnsiTheme="minorHAnsi" w:cstheme="minorHAnsi"/>
          <w:b/>
          <w:bCs/>
        </w:rPr>
        <w:t>Task</w:t>
      </w:r>
    </w:p>
    <w:p w14:paraId="5F1EE784" w14:textId="77777777" w:rsidR="00A570E0" w:rsidRDefault="00A570E0" w:rsidP="00E765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Read the case study “Kelly’s Assignment in Japan” on pages 343-345 of the MGT387 textbook, and answer the following questions:</w:t>
      </w:r>
    </w:p>
    <w:p w14:paraId="2BE17E0F" w14:textId="2CF53EF8" w:rsidR="00A570E0" w:rsidRDefault="00A570E0" w:rsidP="00E76588">
      <w:pPr>
        <w:rPr>
          <w:rFonts w:asciiTheme="minorHAnsi" w:hAnsiTheme="minorHAnsi" w:cstheme="minorHAnsi"/>
        </w:rPr>
      </w:pPr>
    </w:p>
    <w:p w14:paraId="577D6AC3" w14:textId="17C94194" w:rsidR="00922C6A" w:rsidRDefault="000C5027" w:rsidP="00922C6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Explain how cultural differences have impacted the behaviour and expectations of Kelly and the employees in this situation. Give examples.</w:t>
      </w:r>
    </w:p>
    <w:p w14:paraId="5AEE6B0C" w14:textId="098FF610" w:rsidR="000C5027" w:rsidRDefault="000C5027" w:rsidP="000C502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 the stages of culture </w:t>
      </w:r>
      <w:proofErr w:type="gramStart"/>
      <w:r>
        <w:rPr>
          <w:rFonts w:asciiTheme="minorHAnsi" w:hAnsiTheme="minorHAnsi" w:cstheme="minorHAnsi"/>
        </w:rPr>
        <w:t>shock, and</w:t>
      </w:r>
      <w:proofErr w:type="gramEnd"/>
      <w:r>
        <w:rPr>
          <w:rFonts w:asciiTheme="minorHAnsi" w:hAnsiTheme="minorHAnsi" w:cstheme="minorHAnsi"/>
        </w:rPr>
        <w:t xml:space="preserve"> describe which stage you think Kelly’s family are experiencing. </w:t>
      </w:r>
    </w:p>
    <w:p w14:paraId="72DF7929" w14:textId="77838DA3" w:rsidR="000C5027" w:rsidRDefault="000C5027" w:rsidP="000C502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could have been done differently before Kelly left America to go to Japan, to reduce the challenges she is facing?</w:t>
      </w:r>
    </w:p>
    <w:p w14:paraId="0CDDB0E9" w14:textId="3641EE61" w:rsidR="000C5027" w:rsidRPr="000C5027" w:rsidRDefault="000C5027" w:rsidP="000C502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were Kelly, what would you do now? </w:t>
      </w:r>
    </w:p>
    <w:p w14:paraId="6A8F70FD" w14:textId="3FA4AF2F" w:rsidR="00B130D6" w:rsidRDefault="00A570E0" w:rsidP="00E765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BEE98EB" w14:textId="088DD46B" w:rsidR="00E76588" w:rsidRDefault="00E76588" w:rsidP="00E76588">
      <w:pPr>
        <w:rPr>
          <w:rFonts w:asciiTheme="minorHAnsi" w:hAnsiTheme="minorHAnsi" w:cstheme="minorHAnsi"/>
          <w:color w:val="000000"/>
        </w:rPr>
      </w:pPr>
      <w:r w:rsidRPr="00B429F5">
        <w:rPr>
          <w:rFonts w:asciiTheme="minorHAnsi" w:hAnsiTheme="minorHAnsi" w:cstheme="minorHAnsi"/>
          <w:color w:val="000000"/>
        </w:rPr>
        <w:t>All assignments must be</w:t>
      </w:r>
      <w:r w:rsidR="00443161" w:rsidRPr="00B429F5">
        <w:rPr>
          <w:rFonts w:asciiTheme="minorHAnsi" w:hAnsiTheme="minorHAnsi" w:cstheme="minorHAnsi"/>
          <w:color w:val="000000"/>
        </w:rPr>
        <w:t xml:space="preserve"> correctly referenced using APA7</w:t>
      </w:r>
      <w:r w:rsidRPr="00B429F5">
        <w:rPr>
          <w:rFonts w:asciiTheme="minorHAnsi" w:hAnsiTheme="minorHAnsi" w:cstheme="minorHAnsi"/>
          <w:color w:val="000000"/>
        </w:rPr>
        <w:t xml:space="preserve">th referencing </w:t>
      </w:r>
      <w:proofErr w:type="gramStart"/>
      <w:r w:rsidRPr="00B429F5">
        <w:rPr>
          <w:rFonts w:asciiTheme="minorHAnsi" w:hAnsiTheme="minorHAnsi" w:cstheme="minorHAnsi"/>
          <w:color w:val="000000"/>
        </w:rPr>
        <w:t>style, and</w:t>
      </w:r>
      <w:proofErr w:type="gramEnd"/>
      <w:r w:rsidRPr="00B429F5">
        <w:rPr>
          <w:rFonts w:asciiTheme="minorHAnsi" w:hAnsiTheme="minorHAnsi" w:cstheme="minorHAnsi"/>
          <w:color w:val="000000"/>
        </w:rPr>
        <w:t xml:space="preserve"> include a minimum of 10 in-text citations and a reference list.</w:t>
      </w:r>
    </w:p>
    <w:p w14:paraId="441AC272" w14:textId="7D7807C8" w:rsidR="000C5027" w:rsidRPr="00B429F5" w:rsidRDefault="000C5027" w:rsidP="00E765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Read Chapter 9 and Chapter 3 of the MGT387 textbook and then undertake further research. </w:t>
      </w:r>
    </w:p>
    <w:p w14:paraId="2B6D1E47" w14:textId="77777777" w:rsidR="00E76588" w:rsidRPr="00B429F5" w:rsidRDefault="00E76588" w:rsidP="00E76588">
      <w:pPr>
        <w:pStyle w:val="Heading5"/>
        <w:spacing w:before="240" w:beforeAutospacing="0" w:after="120" w:afterAutospacing="0"/>
        <w:rPr>
          <w:rFonts w:asciiTheme="minorHAnsi" w:hAnsiTheme="minorHAnsi" w:cstheme="minorHAnsi"/>
          <w:bCs w:val="0"/>
          <w:caps/>
          <w:color w:val="000000"/>
          <w:sz w:val="24"/>
          <w:szCs w:val="24"/>
        </w:rPr>
      </w:pPr>
      <w:r w:rsidRPr="00B429F5">
        <w:rPr>
          <w:rFonts w:asciiTheme="minorHAnsi" w:hAnsiTheme="minorHAnsi" w:cstheme="minorHAnsi"/>
          <w:bCs w:val="0"/>
          <w:caps/>
          <w:color w:val="000000"/>
          <w:sz w:val="24"/>
          <w:szCs w:val="24"/>
        </w:rPr>
        <w:t>PRESENTATION</w:t>
      </w:r>
    </w:p>
    <w:p w14:paraId="142F5865" w14:textId="55D0E14A" w:rsidR="00443161" w:rsidRPr="00B429F5" w:rsidRDefault="00443161" w:rsidP="0044316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429F5">
        <w:rPr>
          <w:rFonts w:asciiTheme="minorHAnsi" w:hAnsiTheme="minorHAnsi" w:cstheme="minorHAnsi"/>
          <w:color w:val="000000"/>
        </w:rPr>
        <w:t xml:space="preserve">Your </w:t>
      </w:r>
      <w:r w:rsidR="00EB63FB">
        <w:rPr>
          <w:rFonts w:asciiTheme="minorHAnsi" w:hAnsiTheme="minorHAnsi" w:cstheme="minorHAnsi"/>
          <w:color w:val="000000"/>
        </w:rPr>
        <w:t>Additional A</w:t>
      </w:r>
      <w:r w:rsidRPr="00B429F5">
        <w:rPr>
          <w:rFonts w:asciiTheme="minorHAnsi" w:hAnsiTheme="minorHAnsi" w:cstheme="minorHAnsi"/>
          <w:color w:val="000000"/>
        </w:rPr>
        <w:t>ssessment should be in a report style format</w:t>
      </w:r>
      <w:r w:rsidR="001404E7">
        <w:rPr>
          <w:rFonts w:asciiTheme="minorHAnsi" w:hAnsiTheme="minorHAnsi" w:cstheme="minorHAnsi"/>
          <w:color w:val="000000"/>
        </w:rPr>
        <w:t>, include your name and student number on the header of each page,</w:t>
      </w:r>
      <w:r w:rsidRPr="00B429F5">
        <w:rPr>
          <w:rFonts w:asciiTheme="minorHAnsi" w:hAnsiTheme="minorHAnsi" w:cstheme="minorHAnsi"/>
          <w:color w:val="000000"/>
        </w:rPr>
        <w:t xml:space="preserve"> and should include the following content:</w:t>
      </w:r>
    </w:p>
    <w:p w14:paraId="3CE13B87" w14:textId="2ED7C5E3" w:rsidR="00EB63FB" w:rsidRDefault="00443161" w:rsidP="00B130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429F5">
        <w:rPr>
          <w:rFonts w:asciiTheme="minorHAnsi" w:hAnsiTheme="minorHAnsi" w:cstheme="minorHAnsi"/>
          <w:color w:val="000000"/>
        </w:rPr>
        <w:t>1. Cover page (including assignment title, your name, student number, subject code</w:t>
      </w:r>
      <w:r w:rsidR="00EB63FB">
        <w:rPr>
          <w:rFonts w:asciiTheme="minorHAnsi" w:hAnsiTheme="minorHAnsi" w:cstheme="minorHAnsi"/>
          <w:color w:val="000000"/>
        </w:rPr>
        <w:t>, due date</w:t>
      </w:r>
      <w:r w:rsidRPr="00B429F5">
        <w:rPr>
          <w:rFonts w:asciiTheme="minorHAnsi" w:hAnsiTheme="minorHAnsi" w:cstheme="minorHAnsi"/>
          <w:color w:val="000000"/>
        </w:rPr>
        <w:t>)</w:t>
      </w:r>
      <w:r w:rsidRPr="00B429F5">
        <w:rPr>
          <w:rFonts w:asciiTheme="minorHAnsi" w:hAnsiTheme="minorHAnsi" w:cstheme="minorHAnsi"/>
          <w:color w:val="000000"/>
        </w:rPr>
        <w:br/>
        <w:t>2. Table of contents</w:t>
      </w:r>
      <w:r w:rsidRPr="00B429F5">
        <w:rPr>
          <w:rFonts w:asciiTheme="minorHAnsi" w:hAnsiTheme="minorHAnsi" w:cstheme="minorHAnsi"/>
          <w:color w:val="000000"/>
        </w:rPr>
        <w:br/>
        <w:t>3. Introduction to the report (</w:t>
      </w:r>
      <w:proofErr w:type="spellStart"/>
      <w:r w:rsidRPr="00B429F5">
        <w:rPr>
          <w:rFonts w:asciiTheme="minorHAnsi" w:hAnsiTheme="minorHAnsi" w:cstheme="minorHAnsi"/>
          <w:color w:val="000000"/>
        </w:rPr>
        <w:t>approx</w:t>
      </w:r>
      <w:proofErr w:type="spellEnd"/>
      <w:r w:rsidRPr="00B429F5">
        <w:rPr>
          <w:rFonts w:asciiTheme="minorHAnsi" w:hAnsiTheme="minorHAnsi" w:cstheme="minorHAnsi"/>
          <w:color w:val="000000"/>
        </w:rPr>
        <w:t xml:space="preserve"> 150-200 words)</w:t>
      </w:r>
      <w:r w:rsidRPr="00B429F5">
        <w:rPr>
          <w:rFonts w:asciiTheme="minorHAnsi" w:hAnsiTheme="minorHAnsi" w:cstheme="minorHAnsi"/>
          <w:color w:val="000000"/>
        </w:rPr>
        <w:br/>
        <w:t xml:space="preserve">4. </w:t>
      </w:r>
      <w:r w:rsidR="00EB63FB">
        <w:rPr>
          <w:rFonts w:asciiTheme="minorHAnsi" w:hAnsiTheme="minorHAnsi" w:cstheme="minorHAnsi"/>
          <w:color w:val="000000"/>
        </w:rPr>
        <w:t>Question 1</w:t>
      </w:r>
    </w:p>
    <w:p w14:paraId="26CF6484" w14:textId="1F06523A" w:rsidR="00EB63FB" w:rsidRDefault="00EB63FB" w:rsidP="00B130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5. Question 2 </w:t>
      </w:r>
      <w:r>
        <w:rPr>
          <w:rFonts w:asciiTheme="minorHAnsi" w:hAnsiTheme="minorHAnsi" w:cstheme="minorHAnsi"/>
          <w:color w:val="000000"/>
        </w:rPr>
        <w:br/>
        <w:t>6. Question 3</w:t>
      </w:r>
    </w:p>
    <w:p w14:paraId="7E056D04" w14:textId="16E5F72C" w:rsidR="00EB63FB" w:rsidRDefault="00EB63FB" w:rsidP="00B130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7. Question 4</w:t>
      </w:r>
    </w:p>
    <w:p w14:paraId="775EE2EB" w14:textId="29964170" w:rsidR="00443161" w:rsidRPr="00B429F5" w:rsidRDefault="00EB63FB" w:rsidP="00B130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</w:t>
      </w:r>
      <w:r w:rsidR="00443161" w:rsidRPr="00B429F5">
        <w:rPr>
          <w:rFonts w:asciiTheme="minorHAnsi" w:hAnsiTheme="minorHAnsi" w:cstheme="minorHAnsi"/>
          <w:color w:val="000000"/>
        </w:rPr>
        <w:t>. Conclusion (</w:t>
      </w:r>
      <w:proofErr w:type="spellStart"/>
      <w:r w:rsidR="00443161" w:rsidRPr="00B429F5">
        <w:rPr>
          <w:rFonts w:asciiTheme="minorHAnsi" w:hAnsiTheme="minorHAnsi" w:cstheme="minorHAnsi"/>
          <w:color w:val="000000"/>
        </w:rPr>
        <w:t>approx</w:t>
      </w:r>
      <w:proofErr w:type="spellEnd"/>
      <w:r w:rsidR="00443161" w:rsidRPr="00B429F5">
        <w:rPr>
          <w:rFonts w:asciiTheme="minorHAnsi" w:hAnsiTheme="minorHAnsi" w:cstheme="minorHAnsi"/>
          <w:color w:val="000000"/>
        </w:rPr>
        <w:t xml:space="preserve"> </w:t>
      </w:r>
      <w:r w:rsidR="00B429F5" w:rsidRPr="00B429F5">
        <w:rPr>
          <w:rFonts w:asciiTheme="minorHAnsi" w:hAnsiTheme="minorHAnsi" w:cstheme="minorHAnsi"/>
          <w:color w:val="000000"/>
        </w:rPr>
        <w:t>200</w:t>
      </w:r>
      <w:r w:rsidR="00443161" w:rsidRPr="00B429F5">
        <w:rPr>
          <w:rFonts w:asciiTheme="minorHAnsi" w:hAnsiTheme="minorHAnsi" w:cstheme="minorHAnsi"/>
          <w:color w:val="000000"/>
        </w:rPr>
        <w:t>-</w:t>
      </w:r>
      <w:r w:rsidR="00B429F5" w:rsidRPr="00B429F5">
        <w:rPr>
          <w:rFonts w:asciiTheme="minorHAnsi" w:hAnsiTheme="minorHAnsi" w:cstheme="minorHAnsi"/>
          <w:color w:val="000000"/>
        </w:rPr>
        <w:t>3</w:t>
      </w:r>
      <w:r w:rsidR="00443161" w:rsidRPr="00B429F5">
        <w:rPr>
          <w:rFonts w:asciiTheme="minorHAnsi" w:hAnsiTheme="minorHAnsi" w:cstheme="minorHAnsi"/>
          <w:color w:val="000000"/>
        </w:rPr>
        <w:t>00 words)</w:t>
      </w:r>
      <w:r w:rsidR="00B429F5" w:rsidRPr="00B429F5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9</w:t>
      </w:r>
      <w:r w:rsidR="00B429F5" w:rsidRPr="00B429F5">
        <w:rPr>
          <w:rFonts w:asciiTheme="minorHAnsi" w:hAnsiTheme="minorHAnsi" w:cstheme="minorHAnsi"/>
          <w:color w:val="000000"/>
        </w:rPr>
        <w:t>. Reference list (in APA7</w:t>
      </w:r>
      <w:r w:rsidR="00443161" w:rsidRPr="00B429F5">
        <w:rPr>
          <w:rFonts w:asciiTheme="minorHAnsi" w:hAnsiTheme="minorHAnsi" w:cstheme="minorHAnsi"/>
          <w:color w:val="000000"/>
        </w:rPr>
        <w:t>th format)</w:t>
      </w:r>
    </w:p>
    <w:p w14:paraId="0E345579" w14:textId="77777777" w:rsidR="00F476AE" w:rsidRDefault="00F476AE"/>
    <w:p w14:paraId="08BFBF6E" w14:textId="77777777" w:rsidR="00E70ACD" w:rsidRDefault="00E70ACD"/>
    <w:p w14:paraId="3F1F827A" w14:textId="77777777" w:rsidR="00E70ACD" w:rsidRDefault="00E70ACD"/>
    <w:p w14:paraId="36DD5FE8" w14:textId="77777777" w:rsidR="00E70ACD" w:rsidRDefault="00E70ACD"/>
    <w:p w14:paraId="65B51C19" w14:textId="77777777" w:rsidR="00E70ACD" w:rsidRDefault="00E70ACD"/>
    <w:p w14:paraId="7003DC99" w14:textId="77777777" w:rsidR="00E70ACD" w:rsidRDefault="00E70ACD"/>
    <w:p w14:paraId="5F32BA8A" w14:textId="77777777" w:rsidR="00E70ACD" w:rsidRDefault="00E70ACD"/>
    <w:p w14:paraId="382B1BC5" w14:textId="77777777" w:rsidR="00E70ACD" w:rsidRDefault="00E70ACD"/>
    <w:p w14:paraId="68D53406" w14:textId="77777777" w:rsidR="00E70ACD" w:rsidRDefault="00E70ACD"/>
    <w:p w14:paraId="5639B3C1" w14:textId="77777777" w:rsidR="00E70ACD" w:rsidRDefault="00E70ACD"/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387"/>
        <w:gridCol w:w="5103"/>
      </w:tblGrid>
      <w:tr w:rsidR="00F476AE" w14:paraId="17BBC5E1" w14:textId="77777777" w:rsidTr="009347C6">
        <w:tc>
          <w:tcPr>
            <w:tcW w:w="4395" w:type="dxa"/>
          </w:tcPr>
          <w:p w14:paraId="7EB1CA54" w14:textId="77777777" w:rsidR="00F476AE" w:rsidRPr="00F476AE" w:rsidRDefault="00F476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5387" w:type="dxa"/>
          </w:tcPr>
          <w:p w14:paraId="05ABE2D8" w14:textId="77777777" w:rsidR="00F476AE" w:rsidRPr="00F476AE" w:rsidRDefault="00F476AE" w:rsidP="00F47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High Distinction (HD), Distinction</w:t>
            </w:r>
          </w:p>
          <w:p w14:paraId="2E2A225B" w14:textId="77777777" w:rsidR="00F476AE" w:rsidRPr="00F476AE" w:rsidRDefault="00F476AE" w:rsidP="00F476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(DI), Credit (CR) and Pass (PS)</w:t>
            </w:r>
          </w:p>
        </w:tc>
        <w:tc>
          <w:tcPr>
            <w:tcW w:w="5103" w:type="dxa"/>
          </w:tcPr>
          <w:p w14:paraId="2174C524" w14:textId="77777777" w:rsidR="00F476AE" w:rsidRPr="00F476AE" w:rsidRDefault="00F476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Fail (FL)</w:t>
            </w:r>
          </w:p>
        </w:tc>
      </w:tr>
      <w:tr w:rsidR="00F476AE" w14:paraId="13FFDF1C" w14:textId="77777777" w:rsidTr="009347C6">
        <w:tc>
          <w:tcPr>
            <w:tcW w:w="4395" w:type="dxa"/>
          </w:tcPr>
          <w:p w14:paraId="19A30D60" w14:textId="77777777" w:rsidR="00F476AE" w:rsidRPr="00F476AE" w:rsidRDefault="00F476AE" w:rsidP="00FB22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Sources of information are </w:t>
            </w:r>
            <w:r w:rsidR="00FB2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credible, a</w:t>
            </w: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cknowledged, traceable and the student's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B22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own </w:t>
            </w: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work.</w:t>
            </w:r>
          </w:p>
        </w:tc>
        <w:tc>
          <w:tcPr>
            <w:tcW w:w="5387" w:type="dxa"/>
          </w:tcPr>
          <w:p w14:paraId="1F44DE0A" w14:textId="77777777" w:rsidR="00F476AE" w:rsidRPr="00F476AE" w:rsidRDefault="00F476AE" w:rsidP="00F47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sz w:val="20"/>
                <w:szCs w:val="20"/>
              </w:rPr>
              <w:t>At least ten (10) in-text citations and a reference list to verifiable, credible, and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76AE">
              <w:rPr>
                <w:rFonts w:asciiTheme="minorHAnsi" w:hAnsiTheme="minorHAnsi" w:cstheme="minorHAnsi"/>
                <w:sz w:val="20"/>
                <w:szCs w:val="20"/>
              </w:rPr>
              <w:t>traceable English sources in the body of the report.</w:t>
            </w:r>
          </w:p>
        </w:tc>
        <w:tc>
          <w:tcPr>
            <w:tcW w:w="5103" w:type="dxa"/>
          </w:tcPr>
          <w:p w14:paraId="3006E805" w14:textId="77777777" w:rsidR="00F476AE" w:rsidRPr="00F476AE" w:rsidRDefault="00F476AE" w:rsidP="00F476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476AE">
              <w:rPr>
                <w:rFonts w:asciiTheme="minorHAnsi" w:hAnsiTheme="minorHAnsi" w:cstheme="minorHAnsi"/>
                <w:sz w:val="20"/>
                <w:szCs w:val="20"/>
              </w:rPr>
              <w:t xml:space="preserve">The report does not include at least ten (10) in-text citations and a reference list of traceable, credible English sources in the body of the report. </w:t>
            </w:r>
            <w:r w:rsidRPr="00F476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This assessment will not be read and will receive 0 marks.</w:t>
            </w:r>
          </w:p>
        </w:tc>
      </w:tr>
    </w:tbl>
    <w:p w14:paraId="5A1F0019" w14:textId="77777777" w:rsidR="00F476AE" w:rsidRDefault="00F476AE"/>
    <w:tbl>
      <w:tblPr>
        <w:tblW w:w="5000" w:type="pct"/>
        <w:tblInd w:w="-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769"/>
        <w:gridCol w:w="2689"/>
        <w:gridCol w:w="2267"/>
        <w:gridCol w:w="2550"/>
        <w:gridCol w:w="2553"/>
        <w:gridCol w:w="2203"/>
      </w:tblGrid>
      <w:tr w:rsidR="00443161" w:rsidRPr="00443161" w14:paraId="05DEA15C" w14:textId="77777777" w:rsidTr="00CB5DF5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53B17F" w14:textId="77777777" w:rsidR="00443161" w:rsidRPr="00CB5DF5" w:rsidRDefault="00443161" w:rsidP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Criteria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CD3CFE" w14:textId="77777777" w:rsidR="00443161" w:rsidRPr="00CB5DF5" w:rsidRDefault="00443161" w:rsidP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Mark</w:t>
            </w: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A98675" w14:textId="77777777" w:rsidR="00443161" w:rsidRPr="00CB5DF5" w:rsidRDefault="00443161" w:rsidP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High Distinction</w:t>
            </w:r>
            <w:r w:rsidRPr="00CB5DF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85-100%</w:t>
            </w:r>
          </w:p>
        </w:tc>
        <w:tc>
          <w:tcPr>
            <w:tcW w:w="7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981A76" w14:textId="77777777" w:rsidR="00443161" w:rsidRPr="00CB5DF5" w:rsidRDefault="00443161" w:rsidP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Distinction</w:t>
            </w:r>
            <w:r w:rsidRPr="00CB5DF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75-84%</w:t>
            </w:r>
          </w:p>
        </w:tc>
        <w:tc>
          <w:tcPr>
            <w:tcW w:w="82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3BE02F" w14:textId="77777777" w:rsidR="00443161" w:rsidRPr="00CB5DF5" w:rsidRDefault="00443161" w:rsidP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Credit</w:t>
            </w:r>
            <w:r w:rsidRPr="00CB5DF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65-74%</w:t>
            </w:r>
          </w:p>
        </w:tc>
        <w:tc>
          <w:tcPr>
            <w:tcW w:w="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143135" w14:textId="77777777" w:rsidR="00443161" w:rsidRPr="00CB5DF5" w:rsidRDefault="00443161" w:rsidP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Pass</w:t>
            </w:r>
            <w:r w:rsidRPr="00CB5DF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50-64%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B098B2" w14:textId="77777777" w:rsidR="00443161" w:rsidRPr="00CB5DF5" w:rsidRDefault="00443161" w:rsidP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Fail</w:t>
            </w:r>
            <w:r w:rsidRPr="00CB5DF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0-49%</w:t>
            </w:r>
          </w:p>
        </w:tc>
      </w:tr>
      <w:tr w:rsidR="00443161" w:rsidRPr="0075370F" w14:paraId="6B2E1391" w14:textId="77777777" w:rsidTr="00CB5DF5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E0FED8" w14:textId="77777777" w:rsidR="00443161" w:rsidRPr="00CB5DF5" w:rsidRDefault="0044316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CB5DF5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Introduction and conclusion</w:t>
            </w:r>
            <w:r w:rsidRPr="00CB5DF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="00E70ACD" w:rsidRPr="00CB5DF5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2</w:t>
            </w:r>
            <w:r w:rsidRPr="00CB5DF5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 xml:space="preserve">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9D75B0" w14:textId="77777777" w:rsidR="00443161" w:rsidRPr="00CB5DF5" w:rsidRDefault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B8DD3F" w14:textId="77777777" w:rsidR="00443161" w:rsidRPr="00CB5DF5" w:rsidRDefault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Introduction demonstrates an excellent grasp of the questions and provides a clear outline of scope of the report.</w:t>
            </w: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br/>
              <w:t>Well-defined concluding section which summarizes the important points made in the body of the report and provides a summary analysis of the material.</w:t>
            </w:r>
          </w:p>
        </w:tc>
        <w:tc>
          <w:tcPr>
            <w:tcW w:w="7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C7A8D" w14:textId="77777777" w:rsidR="00443161" w:rsidRPr="00CB5DF5" w:rsidRDefault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 xml:space="preserve">Introduction shows a good grasp of the questions and an attempt to define the scope of the report. Competent attempt to summarize the main points raised in the </w:t>
            </w:r>
            <w:proofErr w:type="gramStart"/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report, but</w:t>
            </w:r>
            <w:proofErr w:type="gramEnd"/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 xml:space="preserve"> limited analytical focus in the conclusion.</w:t>
            </w:r>
          </w:p>
        </w:tc>
        <w:tc>
          <w:tcPr>
            <w:tcW w:w="82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C643B3" w14:textId="77777777" w:rsidR="00443161" w:rsidRPr="00CB5DF5" w:rsidRDefault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Introduction is generic and is limited to an attempt to define the scope of the report.</w:t>
            </w: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br/>
              <w:t>The conclusion summarized the main points, but no analysis or comment on their implications.</w:t>
            </w:r>
          </w:p>
        </w:tc>
        <w:tc>
          <w:tcPr>
            <w:tcW w:w="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1FE0A6" w14:textId="77777777" w:rsidR="00443161" w:rsidRPr="00CB5DF5" w:rsidRDefault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Introduction demonstrates an incomplete grasp of the questions.</w:t>
            </w: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br/>
              <w:t>Rather brief and non-specific concluding section.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FA2A1A" w14:textId="51C4BBAF" w:rsidR="00443161" w:rsidRPr="00CB5DF5" w:rsidRDefault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Introduction to the report is missing; instead launches straight in with no attempt to introduce and define the topic. Question may have been misunderstood.</w:t>
            </w: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br/>
              <w:t xml:space="preserve">The </w:t>
            </w:r>
            <w:r w:rsidR="00EB63FB" w:rsidRPr="00CB5DF5">
              <w:rPr>
                <w:rFonts w:ascii="Arial" w:hAnsi="Arial" w:cs="Arial"/>
                <w:color w:val="000000"/>
                <w:sz w:val="19"/>
                <w:szCs w:val="19"/>
              </w:rPr>
              <w:t>report</w:t>
            </w: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 xml:space="preserve"> ends abruptly and without an appropriate concluding section</w:t>
            </w:r>
          </w:p>
        </w:tc>
      </w:tr>
      <w:tr w:rsidR="00443161" w:rsidRPr="0075370F" w14:paraId="7B96CAE0" w14:textId="77777777" w:rsidTr="00CB5DF5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B17FB6" w14:textId="3E492DEC" w:rsidR="00443161" w:rsidRPr="00CB5DF5" w:rsidRDefault="00EB63FB" w:rsidP="00E70ACD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bCs/>
                <w:sz w:val="19"/>
                <w:szCs w:val="19"/>
              </w:rPr>
              <w:t xml:space="preserve">1. </w:t>
            </w:r>
            <w:r w:rsidR="002F5152" w:rsidRPr="00CB5DF5">
              <w:rPr>
                <w:rFonts w:ascii="Arial" w:hAnsi="Arial" w:cs="Arial"/>
                <w:bCs/>
                <w:sz w:val="19"/>
                <w:szCs w:val="19"/>
              </w:rPr>
              <w:t>Discussion of</w:t>
            </w:r>
            <w:r w:rsidR="002F5152" w:rsidRPr="00CB5DF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t xml:space="preserve">how cultural differences have impacted the behaviour and expectations of Kelly and the employees in this situation. Give examples. </w:t>
            </w:r>
            <w:r w:rsidR="00443161" w:rsidRPr="00CB5DF5">
              <w:rPr>
                <w:rFonts w:ascii="Arial" w:hAnsi="Arial" w:cs="Arial"/>
                <w:b/>
                <w:color w:val="000000"/>
                <w:sz w:val="19"/>
                <w:szCs w:val="19"/>
              </w:rPr>
              <w:br/>
            </w:r>
            <w:r w:rsidR="009347C6"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CB5DF5" w:rsidRPr="00CB5DF5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9</w:t>
            </w:r>
            <w:r w:rsidR="00443161" w:rsidRPr="00CB5DF5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 xml:space="preserve">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7D4174" w14:textId="77777777" w:rsidR="00443161" w:rsidRPr="00CB5DF5" w:rsidRDefault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450543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Discussion is presented in a clear and logical manner. Demonstrates</w:t>
            </w:r>
          </w:p>
          <w:p w14:paraId="0BE7BA94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superior ability to</w:t>
            </w:r>
          </w:p>
          <w:p w14:paraId="53ED6E25" w14:textId="05DEC427" w:rsidR="00EB63FB" w:rsidRPr="00CB5DF5" w:rsidRDefault="0064485A" w:rsidP="00EB63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explain the </w:t>
            </w:r>
            <w:r w:rsidR="0075370F" w:rsidRPr="00CB5DF5">
              <w:rPr>
                <w:rFonts w:ascii="Arial" w:hAnsi="Arial" w:cs="Arial"/>
                <w:sz w:val="19"/>
                <w:szCs w:val="19"/>
              </w:rPr>
              <w:t xml:space="preserve">impact of culture on behaviour and expectations in the workplace. Shows an extensive amount of research and superior consideration of the situation in the case study. </w:t>
            </w:r>
          </w:p>
          <w:p w14:paraId="7FAD9E05" w14:textId="0360F801" w:rsidR="00443161" w:rsidRPr="00CB5DF5" w:rsidRDefault="00443161" w:rsidP="00934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942139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Comprehensive</w:t>
            </w:r>
          </w:p>
          <w:p w14:paraId="47CB67D7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explanation of the</w:t>
            </w:r>
          </w:p>
          <w:p w14:paraId="615B7EAB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influence of culture</w:t>
            </w:r>
          </w:p>
          <w:p w14:paraId="0E7C5BE5" w14:textId="169A10C0" w:rsidR="00443161" w:rsidRPr="00CB5DF5" w:rsidRDefault="0064485A" w:rsidP="007537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on </w:t>
            </w:r>
            <w:r w:rsidR="0075370F" w:rsidRPr="00CB5DF5">
              <w:rPr>
                <w:rFonts w:ascii="Arial" w:hAnsi="Arial" w:cs="Arial"/>
                <w:sz w:val="19"/>
                <w:szCs w:val="19"/>
              </w:rPr>
              <w:t xml:space="preserve">behaviour and expectations in the </w:t>
            </w:r>
            <w:proofErr w:type="gramStart"/>
            <w:r w:rsidR="0075370F" w:rsidRPr="00CB5DF5">
              <w:rPr>
                <w:rFonts w:ascii="Arial" w:hAnsi="Arial" w:cs="Arial"/>
                <w:sz w:val="19"/>
                <w:szCs w:val="19"/>
              </w:rPr>
              <w:t>workplace</w:t>
            </w:r>
            <w:r w:rsidRPr="00CB5DF5">
              <w:rPr>
                <w:rFonts w:ascii="Arial" w:hAnsi="Arial" w:cs="Arial"/>
                <w:sz w:val="19"/>
                <w:szCs w:val="19"/>
              </w:rPr>
              <w:t>, and</w:t>
            </w:r>
            <w:proofErr w:type="gramEnd"/>
            <w:r w:rsidRPr="00CB5DF5">
              <w:rPr>
                <w:rFonts w:ascii="Arial" w:hAnsi="Arial" w:cs="Arial"/>
                <w:sz w:val="19"/>
                <w:szCs w:val="19"/>
              </w:rPr>
              <w:t xml:space="preserve"> shows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t xml:space="preserve">a depth of research and consideration of the </w:t>
            </w:r>
            <w:r w:rsidR="0075370F" w:rsidRPr="00CB5DF5">
              <w:rPr>
                <w:rFonts w:ascii="Arial" w:hAnsi="Arial" w:cs="Arial"/>
                <w:sz w:val="19"/>
                <w:szCs w:val="19"/>
              </w:rPr>
              <w:t>situation in the case study.</w:t>
            </w:r>
          </w:p>
        </w:tc>
        <w:tc>
          <w:tcPr>
            <w:tcW w:w="82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DE1F6E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A good discussion</w:t>
            </w:r>
          </w:p>
          <w:p w14:paraId="0B68A47E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of the influence of</w:t>
            </w:r>
          </w:p>
          <w:p w14:paraId="487B2DF8" w14:textId="2F81452E" w:rsidR="00443161" w:rsidRPr="00CB5DF5" w:rsidRDefault="0064485A" w:rsidP="00934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culture </w:t>
            </w:r>
            <w:r w:rsidR="0075370F" w:rsidRPr="00CB5DF5">
              <w:rPr>
                <w:rFonts w:ascii="Arial" w:hAnsi="Arial" w:cs="Arial"/>
                <w:sz w:val="19"/>
                <w:szCs w:val="19"/>
              </w:rPr>
              <w:t>behaviour and expectations in the workplace</w:t>
            </w:r>
            <w:r w:rsidRPr="00CB5DF5">
              <w:rPr>
                <w:rFonts w:ascii="Arial" w:hAnsi="Arial" w:cs="Arial"/>
                <w:sz w:val="19"/>
                <w:szCs w:val="19"/>
              </w:rPr>
              <w:t xml:space="preserve"> Discussion was supported by sufficient research and consideration of the </w:t>
            </w:r>
            <w:r w:rsidR="0075370F" w:rsidRPr="00CB5DF5">
              <w:rPr>
                <w:rFonts w:ascii="Arial" w:hAnsi="Arial" w:cs="Arial"/>
                <w:sz w:val="19"/>
                <w:szCs w:val="19"/>
              </w:rPr>
              <w:t>situation in the case study.</w:t>
            </w:r>
          </w:p>
        </w:tc>
        <w:tc>
          <w:tcPr>
            <w:tcW w:w="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9F65C6" w14:textId="0FDCD232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A limited discussion of the influence of culture on </w:t>
            </w:r>
            <w:r w:rsidR="0075370F" w:rsidRPr="00CB5DF5">
              <w:rPr>
                <w:rFonts w:ascii="Arial" w:hAnsi="Arial" w:cs="Arial"/>
                <w:sz w:val="19"/>
                <w:szCs w:val="19"/>
              </w:rPr>
              <w:t>behaviour and expectations in the workplace</w:t>
            </w:r>
            <w:r w:rsidRPr="00CB5DF5">
              <w:rPr>
                <w:rFonts w:ascii="Arial" w:hAnsi="Arial" w:cs="Arial"/>
                <w:sz w:val="19"/>
                <w:szCs w:val="19"/>
              </w:rPr>
              <w:t>. Discussion was superficial and</w:t>
            </w:r>
          </w:p>
          <w:p w14:paraId="56103F3C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limited evidence of</w:t>
            </w:r>
          </w:p>
          <w:p w14:paraId="4856C6A0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research was</w:t>
            </w:r>
          </w:p>
          <w:p w14:paraId="440EBC32" w14:textId="77777777" w:rsidR="00443161" w:rsidRPr="00CB5DF5" w:rsidRDefault="0064485A" w:rsidP="006448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demonstrated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569C5D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Discussion is not</w:t>
            </w:r>
          </w:p>
          <w:p w14:paraId="09B9593B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clear and shows</w:t>
            </w:r>
          </w:p>
          <w:p w14:paraId="26A0DDD0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poor understanding of</w:t>
            </w:r>
          </w:p>
          <w:p w14:paraId="046A42F1" w14:textId="35D2853F" w:rsidR="00443161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the influence of culture </w:t>
            </w:r>
            <w:r w:rsidR="0075370F" w:rsidRPr="00CB5DF5">
              <w:rPr>
                <w:rFonts w:ascii="Arial" w:hAnsi="Arial" w:cs="Arial"/>
                <w:sz w:val="19"/>
                <w:szCs w:val="19"/>
              </w:rPr>
              <w:t>behaviour and expectations in the workplace</w:t>
            </w:r>
            <w:r w:rsidRPr="00CB5DF5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443161" w:rsidRPr="0075370F" w14:paraId="60653EF0" w14:textId="77777777" w:rsidTr="00CB5DF5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3D8A14" w14:textId="39D3E433" w:rsidR="00EB63FB" w:rsidRPr="00CB5DF5" w:rsidRDefault="00EB63FB" w:rsidP="00EB63FB">
            <w:pPr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2. Discussion of the stages of culture shock, and which stage you think Kelly’s family are experiencing. </w:t>
            </w:r>
          </w:p>
          <w:p w14:paraId="62F1DD79" w14:textId="05A3E5CA" w:rsidR="00E70ACD" w:rsidRPr="00CB5DF5" w:rsidRDefault="00E70ACD" w:rsidP="00E70ACD">
            <w:pPr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</w:pPr>
          </w:p>
          <w:p w14:paraId="73CA4C96" w14:textId="54277CB3" w:rsidR="00443161" w:rsidRPr="00CB5DF5" w:rsidRDefault="00CB5DF5" w:rsidP="00E70AC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CB5DF5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6</w:t>
            </w:r>
            <w:r w:rsidR="00443161" w:rsidRPr="00CB5DF5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 xml:space="preserve">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E90A55" w14:textId="77777777" w:rsidR="00443161" w:rsidRPr="00CB5DF5" w:rsidRDefault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3E31D3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Discussion is presented</w:t>
            </w:r>
          </w:p>
          <w:p w14:paraId="3A0A486A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in a clear and logical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t>manner. Demonstrates</w:t>
            </w:r>
          </w:p>
          <w:p w14:paraId="3788DF67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superior ability to</w:t>
            </w:r>
          </w:p>
          <w:p w14:paraId="651F0401" w14:textId="6ACF7016" w:rsidR="0064485A" w:rsidRPr="00CB5DF5" w:rsidRDefault="0075370F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discuss the stages of culture </w:t>
            </w:r>
            <w:proofErr w:type="gramStart"/>
            <w:r w:rsidRPr="00CB5DF5">
              <w:rPr>
                <w:rFonts w:ascii="Arial" w:hAnsi="Arial" w:cs="Arial"/>
                <w:sz w:val="19"/>
                <w:szCs w:val="19"/>
              </w:rPr>
              <w:t>shock, and</w:t>
            </w:r>
            <w:proofErr w:type="gramEnd"/>
            <w:r w:rsidRPr="00CB5DF5">
              <w:rPr>
                <w:rFonts w:ascii="Arial" w:hAnsi="Arial" w:cs="Arial"/>
                <w:sz w:val="19"/>
                <w:szCs w:val="19"/>
              </w:rPr>
              <w:t xml:space="preserve"> identify which stage of culture shock Kelly’s family are experiencing</w:t>
            </w:r>
            <w:r w:rsidR="0064485A" w:rsidRPr="00CB5DF5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71E97792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Shows extensive</w:t>
            </w:r>
          </w:p>
          <w:p w14:paraId="249D1ABF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lastRenderedPageBreak/>
              <w:t>research and critical</w:t>
            </w:r>
          </w:p>
          <w:p w14:paraId="3A17CADB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consideration of the key</w:t>
            </w:r>
          </w:p>
          <w:p w14:paraId="3DCE199D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concepts, which are</w:t>
            </w:r>
          </w:p>
          <w:p w14:paraId="26B95EA6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supported by a range of</w:t>
            </w:r>
          </w:p>
          <w:p w14:paraId="3070CC24" w14:textId="77777777" w:rsidR="00443161" w:rsidRPr="00CB5DF5" w:rsidRDefault="0064485A" w:rsidP="00934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relevant and explained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t>examples.</w:t>
            </w:r>
          </w:p>
        </w:tc>
        <w:tc>
          <w:tcPr>
            <w:tcW w:w="7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543FA4" w14:textId="77777777" w:rsidR="0064485A" w:rsidRPr="00CB5DF5" w:rsidRDefault="0064485A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lastRenderedPageBreak/>
              <w:t>Discussion is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t>presented in a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t>clear and logical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t>manner.</w:t>
            </w:r>
          </w:p>
          <w:p w14:paraId="58C3F393" w14:textId="77777777" w:rsidR="0075370F" w:rsidRPr="00CB5DF5" w:rsidRDefault="0075370F" w:rsidP="007537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Demonstrates</w:t>
            </w:r>
          </w:p>
          <w:p w14:paraId="706433ED" w14:textId="0853F3E0" w:rsidR="0075370F" w:rsidRPr="00CB5DF5" w:rsidRDefault="0075370F" w:rsidP="007537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strong ability to</w:t>
            </w:r>
          </w:p>
          <w:p w14:paraId="1A0216C3" w14:textId="755872A5" w:rsidR="0064485A" w:rsidRPr="00CB5DF5" w:rsidRDefault="0075370F" w:rsidP="007537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discuss the stages of culture shock, and identify which stage of culture shock Kelly’s </w:t>
            </w:r>
            <w:r w:rsidRPr="00CB5DF5">
              <w:rPr>
                <w:rFonts w:ascii="Arial" w:hAnsi="Arial" w:cs="Arial"/>
                <w:sz w:val="19"/>
                <w:szCs w:val="19"/>
              </w:rPr>
              <w:lastRenderedPageBreak/>
              <w:t xml:space="preserve">family are experiencing </w:t>
            </w:r>
            <w:r w:rsidR="0064485A" w:rsidRPr="00CB5DF5">
              <w:rPr>
                <w:rFonts w:ascii="Arial" w:hAnsi="Arial" w:cs="Arial"/>
                <w:sz w:val="19"/>
                <w:szCs w:val="19"/>
              </w:rPr>
              <w:t>Evidence of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4485A" w:rsidRPr="00CB5DF5">
              <w:rPr>
                <w:rFonts w:ascii="Arial" w:hAnsi="Arial" w:cs="Arial"/>
                <w:sz w:val="19"/>
                <w:szCs w:val="19"/>
              </w:rPr>
              <w:t>research and supported by a few</w:t>
            </w:r>
          </w:p>
          <w:p w14:paraId="5D2FEB37" w14:textId="77777777" w:rsidR="00443161" w:rsidRPr="00CB5DF5" w:rsidRDefault="0064485A" w:rsidP="009347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relevant and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t>explained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t>examples.</w:t>
            </w:r>
          </w:p>
        </w:tc>
        <w:tc>
          <w:tcPr>
            <w:tcW w:w="82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70A6DD" w14:textId="77777777" w:rsidR="0075370F" w:rsidRPr="00CB5DF5" w:rsidRDefault="0075370F" w:rsidP="007537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lastRenderedPageBreak/>
              <w:t>Demonstrates</w:t>
            </w:r>
          </w:p>
          <w:p w14:paraId="61BE2454" w14:textId="3769F724" w:rsidR="0075370F" w:rsidRPr="00CB5DF5" w:rsidRDefault="0075370F" w:rsidP="007537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good ability to</w:t>
            </w:r>
          </w:p>
          <w:p w14:paraId="2B82D99E" w14:textId="72848150" w:rsidR="00443161" w:rsidRPr="00CB5DF5" w:rsidRDefault="0075370F" w:rsidP="007537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discuss the stages of culture </w:t>
            </w:r>
            <w:proofErr w:type="gramStart"/>
            <w:r w:rsidRPr="00CB5DF5">
              <w:rPr>
                <w:rFonts w:ascii="Arial" w:hAnsi="Arial" w:cs="Arial"/>
                <w:sz w:val="19"/>
                <w:szCs w:val="19"/>
              </w:rPr>
              <w:t>shock, and</w:t>
            </w:r>
            <w:proofErr w:type="gramEnd"/>
            <w:r w:rsidRPr="00CB5DF5">
              <w:rPr>
                <w:rFonts w:ascii="Arial" w:hAnsi="Arial" w:cs="Arial"/>
                <w:sz w:val="19"/>
                <w:szCs w:val="19"/>
              </w:rPr>
              <w:t xml:space="preserve"> identify which stage of culture shock Kelly’s family are experiencing. Some examples are provided </w:t>
            </w:r>
            <w:r w:rsidRPr="00CB5DF5">
              <w:rPr>
                <w:rFonts w:ascii="Arial" w:hAnsi="Arial" w:cs="Arial"/>
                <w:sz w:val="19"/>
                <w:szCs w:val="19"/>
              </w:rPr>
              <w:lastRenderedPageBreak/>
              <w:t xml:space="preserve">which supports the discussion. </w:t>
            </w:r>
            <w:r w:rsidR="0064485A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98765C" w14:textId="77777777" w:rsidR="0075370F" w:rsidRPr="00CB5DF5" w:rsidRDefault="0075370F" w:rsidP="007537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lastRenderedPageBreak/>
              <w:t>Demonstrates</w:t>
            </w:r>
          </w:p>
          <w:p w14:paraId="69018FB8" w14:textId="07E37F3E" w:rsidR="0075370F" w:rsidRPr="00CB5DF5" w:rsidRDefault="0075370F" w:rsidP="007537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basic ability to</w:t>
            </w:r>
          </w:p>
          <w:p w14:paraId="0BA480E0" w14:textId="4CABB106" w:rsidR="00443161" w:rsidRPr="00CB5DF5" w:rsidRDefault="0075370F" w:rsidP="007537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discuss the stages of culture </w:t>
            </w:r>
            <w:proofErr w:type="gramStart"/>
            <w:r w:rsidRPr="00CB5DF5">
              <w:rPr>
                <w:rFonts w:ascii="Arial" w:hAnsi="Arial" w:cs="Arial"/>
                <w:sz w:val="19"/>
                <w:szCs w:val="19"/>
              </w:rPr>
              <w:t>shock, and</w:t>
            </w:r>
            <w:proofErr w:type="gramEnd"/>
            <w:r w:rsidRPr="00CB5DF5">
              <w:rPr>
                <w:rFonts w:ascii="Arial" w:hAnsi="Arial" w:cs="Arial"/>
                <w:sz w:val="19"/>
                <w:szCs w:val="19"/>
              </w:rPr>
              <w:t xml:space="preserve"> identify which stage of culture shock Kelly’s family are experiencing. Includes </w:t>
            </w:r>
            <w:r w:rsidR="0064485A" w:rsidRPr="00CB5DF5">
              <w:rPr>
                <w:rFonts w:ascii="Arial" w:hAnsi="Arial" w:cs="Arial"/>
                <w:sz w:val="19"/>
                <w:szCs w:val="19"/>
              </w:rPr>
              <w:t>basic examples that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4485A" w:rsidRPr="00CB5DF5">
              <w:rPr>
                <w:rFonts w:ascii="Arial" w:hAnsi="Arial" w:cs="Arial"/>
                <w:sz w:val="19"/>
                <w:szCs w:val="19"/>
              </w:rPr>
              <w:t xml:space="preserve">are not </w:t>
            </w:r>
            <w:r w:rsidR="0064485A" w:rsidRPr="00CB5DF5">
              <w:rPr>
                <w:rFonts w:ascii="Arial" w:hAnsi="Arial" w:cs="Arial"/>
                <w:sz w:val="19"/>
                <w:szCs w:val="19"/>
              </w:rPr>
              <w:lastRenderedPageBreak/>
              <w:t>well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4485A" w:rsidRPr="00CB5DF5">
              <w:rPr>
                <w:rFonts w:ascii="Arial" w:hAnsi="Arial" w:cs="Arial"/>
                <w:sz w:val="19"/>
                <w:szCs w:val="19"/>
              </w:rPr>
              <w:t>explained or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4485A" w:rsidRPr="00CB5DF5">
              <w:rPr>
                <w:rFonts w:ascii="Arial" w:hAnsi="Arial" w:cs="Arial"/>
                <w:sz w:val="19"/>
                <w:szCs w:val="19"/>
              </w:rPr>
              <w:t>discussed.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698020" w14:textId="44C3F856" w:rsidR="00443161" w:rsidRPr="00CB5DF5" w:rsidRDefault="0064485A" w:rsidP="0075370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lastRenderedPageBreak/>
              <w:t>Discussion is not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t>clear and shows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t>poor ability to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5370F" w:rsidRPr="00CB5DF5">
              <w:rPr>
                <w:rFonts w:ascii="Arial" w:hAnsi="Arial" w:cs="Arial"/>
                <w:sz w:val="19"/>
                <w:szCs w:val="19"/>
              </w:rPr>
              <w:t xml:space="preserve">discuss the stages of culture </w:t>
            </w:r>
            <w:proofErr w:type="gramStart"/>
            <w:r w:rsidR="0075370F" w:rsidRPr="00CB5DF5">
              <w:rPr>
                <w:rFonts w:ascii="Arial" w:hAnsi="Arial" w:cs="Arial"/>
                <w:sz w:val="19"/>
                <w:szCs w:val="19"/>
              </w:rPr>
              <w:t>shock, and</w:t>
            </w:r>
            <w:proofErr w:type="gramEnd"/>
            <w:r w:rsidR="0075370F" w:rsidRPr="00CB5DF5">
              <w:rPr>
                <w:rFonts w:ascii="Arial" w:hAnsi="Arial" w:cs="Arial"/>
                <w:sz w:val="19"/>
                <w:szCs w:val="19"/>
              </w:rPr>
              <w:t xml:space="preserve"> identify which stage of culture shock Kelly’s family are experiencing </w:t>
            </w:r>
            <w:r w:rsidRPr="00CB5DF5">
              <w:rPr>
                <w:rFonts w:ascii="Arial" w:hAnsi="Arial" w:cs="Arial"/>
                <w:sz w:val="19"/>
                <w:szCs w:val="19"/>
              </w:rPr>
              <w:t>Discussion is not</w:t>
            </w:r>
            <w:r w:rsidR="009347C6" w:rsidRPr="00CB5DF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B5DF5">
              <w:rPr>
                <w:rFonts w:ascii="Arial" w:hAnsi="Arial" w:cs="Arial"/>
                <w:sz w:val="19"/>
                <w:szCs w:val="19"/>
              </w:rPr>
              <w:lastRenderedPageBreak/>
              <w:t>supported by examples.</w:t>
            </w:r>
          </w:p>
        </w:tc>
      </w:tr>
      <w:tr w:rsidR="00EB63FB" w:rsidRPr="0075370F" w14:paraId="3235BDCC" w14:textId="77777777" w:rsidTr="00CB5DF5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BF1360" w14:textId="3DB752EE" w:rsidR="00EB63FB" w:rsidRPr="00CB5DF5" w:rsidRDefault="00EB63FB" w:rsidP="00EB63FB">
            <w:pPr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lastRenderedPageBreak/>
              <w:t>3. Discussion of what could have been done differently before Kelly left America to go to Japan, to reduce the challenges she is facing</w:t>
            </w:r>
          </w:p>
          <w:p w14:paraId="11AC6640" w14:textId="77777777" w:rsidR="00CB5DF5" w:rsidRPr="00CB5DF5" w:rsidRDefault="00CB5DF5" w:rsidP="00EB63FB">
            <w:pPr>
              <w:rPr>
                <w:rFonts w:ascii="Arial" w:hAnsi="Arial" w:cs="Arial"/>
                <w:sz w:val="19"/>
                <w:szCs w:val="19"/>
              </w:rPr>
            </w:pPr>
          </w:p>
          <w:p w14:paraId="016F7F43" w14:textId="1AB4626D" w:rsidR="00EB63FB" w:rsidRPr="00CB5DF5" w:rsidRDefault="00CB5DF5" w:rsidP="00EB63FB">
            <w:pPr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6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71D8A6" w14:textId="77777777" w:rsidR="00EB63FB" w:rsidRPr="00CB5DF5" w:rsidRDefault="00EB63FB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FF7175" w14:textId="77777777" w:rsidR="0061568D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Discussion is presented</w:t>
            </w:r>
          </w:p>
          <w:p w14:paraId="3CB068F9" w14:textId="77777777" w:rsidR="0061568D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in a clear and logical manner. Demonstrates</w:t>
            </w:r>
          </w:p>
          <w:p w14:paraId="56B7FFA2" w14:textId="77777777" w:rsidR="0061568D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superior ability to</w:t>
            </w:r>
          </w:p>
          <w:p w14:paraId="039131B3" w14:textId="74EA0062" w:rsidR="00EB63FB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discuss methods for improving expatriate assignments such as types of pre-departure training and organisational support for expatriates, etc. Discussion shows superior understanding of </w:t>
            </w:r>
            <w:r w:rsidR="00CB5DF5">
              <w:rPr>
                <w:rFonts w:ascii="Arial" w:hAnsi="Arial" w:cs="Arial"/>
                <w:sz w:val="19"/>
                <w:szCs w:val="19"/>
              </w:rPr>
              <w:t>avoiding/reducing</w:t>
            </w:r>
            <w:r w:rsidRPr="00CB5DF5">
              <w:rPr>
                <w:rFonts w:ascii="Arial" w:hAnsi="Arial" w:cs="Arial"/>
                <w:sz w:val="19"/>
                <w:szCs w:val="19"/>
              </w:rPr>
              <w:t xml:space="preserve"> the challenges shown in the case study. Discussion is supported by extensive research</w:t>
            </w:r>
            <w:r w:rsidR="00FE4367" w:rsidRPr="00CB5DF5">
              <w:rPr>
                <w:rFonts w:ascii="Arial" w:hAnsi="Arial" w:cs="Arial"/>
                <w:sz w:val="19"/>
                <w:szCs w:val="19"/>
              </w:rPr>
              <w:t xml:space="preserve"> and examples</w:t>
            </w:r>
            <w:r w:rsidRPr="00CB5DF5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7F49D5" w14:textId="5BCEB169" w:rsidR="0061568D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Discussion demonstrates</w:t>
            </w:r>
          </w:p>
          <w:p w14:paraId="44402E45" w14:textId="205B58C3" w:rsidR="0061568D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strong ability to</w:t>
            </w:r>
          </w:p>
          <w:p w14:paraId="742C5363" w14:textId="0ED4B6BB" w:rsidR="00EB63FB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discuss methods for improving expatriate assignments such as types of pre-departure training and organisational support for expatriates, etc. Discussion shows strong understanding of </w:t>
            </w:r>
            <w:r w:rsidR="00CB5DF5">
              <w:rPr>
                <w:rFonts w:ascii="Arial" w:hAnsi="Arial" w:cs="Arial"/>
                <w:sz w:val="19"/>
                <w:szCs w:val="19"/>
              </w:rPr>
              <w:t>avoiding/reducing</w:t>
            </w:r>
            <w:r w:rsidRPr="00CB5DF5">
              <w:rPr>
                <w:rFonts w:ascii="Arial" w:hAnsi="Arial" w:cs="Arial"/>
                <w:sz w:val="19"/>
                <w:szCs w:val="19"/>
              </w:rPr>
              <w:t xml:space="preserve"> the challenges shown in the case study. Discussion is supported by appropriate research</w:t>
            </w:r>
            <w:r w:rsidR="00FE4367" w:rsidRPr="00CB5DF5">
              <w:rPr>
                <w:rFonts w:ascii="Arial" w:hAnsi="Arial" w:cs="Arial"/>
                <w:sz w:val="19"/>
                <w:szCs w:val="19"/>
              </w:rPr>
              <w:t xml:space="preserve"> and some examples</w:t>
            </w:r>
            <w:r w:rsidRPr="00CB5DF5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2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61930F" w14:textId="5E8DC175" w:rsidR="0061568D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Demonstrates</w:t>
            </w:r>
          </w:p>
          <w:p w14:paraId="3153A1C8" w14:textId="6E129B30" w:rsidR="0061568D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good ability to</w:t>
            </w:r>
          </w:p>
          <w:p w14:paraId="6387FDBA" w14:textId="0E9A95E5" w:rsidR="00EB63FB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discuss methods for improving expatriate assignments such as types of pre-departure training and organisational support for expatriates, etc. Discussion shows good understanding of </w:t>
            </w:r>
            <w:r w:rsidR="00CB5DF5">
              <w:rPr>
                <w:rFonts w:ascii="Arial" w:hAnsi="Arial" w:cs="Arial"/>
                <w:sz w:val="19"/>
                <w:szCs w:val="19"/>
              </w:rPr>
              <w:t>avoiding/</w:t>
            </w:r>
            <w:r w:rsidRPr="00CB5DF5">
              <w:rPr>
                <w:rFonts w:ascii="Arial" w:hAnsi="Arial" w:cs="Arial"/>
                <w:sz w:val="19"/>
                <w:szCs w:val="19"/>
              </w:rPr>
              <w:t>reducing the challenges shown in the case study. Discussion is supported by some research</w:t>
            </w:r>
            <w:r w:rsidR="00FE4367" w:rsidRPr="00CB5DF5">
              <w:rPr>
                <w:rFonts w:ascii="Arial" w:hAnsi="Arial" w:cs="Arial"/>
                <w:sz w:val="19"/>
                <w:szCs w:val="19"/>
              </w:rPr>
              <w:t xml:space="preserve"> and minimal examples</w:t>
            </w:r>
            <w:r w:rsidRPr="00CB5DF5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4697B0" w14:textId="5814739C" w:rsidR="0061568D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Discussion demonstrates</w:t>
            </w:r>
          </w:p>
          <w:p w14:paraId="2F35DF21" w14:textId="1D667857" w:rsidR="0061568D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basic ability to</w:t>
            </w:r>
          </w:p>
          <w:p w14:paraId="731DBB6F" w14:textId="5B891AB4" w:rsidR="00EB63FB" w:rsidRPr="00CB5DF5" w:rsidRDefault="0061568D" w:rsidP="0061568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discuss methods for improving expatriate assignments such as types of pre-departure training and organisational support for expatriates etc. Discussion shows limited understanding of </w:t>
            </w:r>
            <w:r w:rsidR="00CB5DF5">
              <w:rPr>
                <w:rFonts w:ascii="Arial" w:hAnsi="Arial" w:cs="Arial"/>
                <w:sz w:val="19"/>
                <w:szCs w:val="19"/>
              </w:rPr>
              <w:t>avoiding/r</w:t>
            </w:r>
            <w:r w:rsidRPr="00CB5DF5">
              <w:rPr>
                <w:rFonts w:ascii="Arial" w:hAnsi="Arial" w:cs="Arial"/>
                <w:sz w:val="19"/>
                <w:szCs w:val="19"/>
              </w:rPr>
              <w:t>educing the challenges shown in the case study. Discussion is supported by minimal research</w:t>
            </w:r>
            <w:r w:rsidR="00FE4367" w:rsidRPr="00CB5DF5">
              <w:rPr>
                <w:rFonts w:ascii="Arial" w:hAnsi="Arial" w:cs="Arial"/>
                <w:sz w:val="19"/>
                <w:szCs w:val="19"/>
              </w:rPr>
              <w:t xml:space="preserve"> and no examples</w:t>
            </w:r>
            <w:r w:rsidRPr="00CB5DF5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AC7C9F" w14:textId="61E540AF" w:rsidR="00EB63FB" w:rsidRPr="00CB5DF5" w:rsidRDefault="0075370F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Discussion is missing or not relevant to the case study.</w:t>
            </w:r>
          </w:p>
        </w:tc>
      </w:tr>
      <w:tr w:rsidR="00EB63FB" w:rsidRPr="0075370F" w14:paraId="0ED46DD5" w14:textId="77777777" w:rsidTr="00CB5DF5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1207CA" w14:textId="06881A98" w:rsidR="00EB63FB" w:rsidRPr="00CB5DF5" w:rsidRDefault="00EB63FB" w:rsidP="00EB63FB">
            <w:pPr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4. Discussion of what you would do now if you were Kelly. </w:t>
            </w:r>
            <w:r w:rsidR="00CB5DF5" w:rsidRPr="00CB5DF5">
              <w:rPr>
                <w:rFonts w:ascii="Arial" w:hAnsi="Arial" w:cs="Arial"/>
                <w:sz w:val="19"/>
                <w:szCs w:val="19"/>
              </w:rPr>
              <w:br/>
              <w:t>4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C18655" w14:textId="77777777" w:rsidR="00EB63FB" w:rsidRPr="00CB5DF5" w:rsidRDefault="00EB63FB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4B3C53" w14:textId="739E111D" w:rsidR="00EB63FB" w:rsidRPr="00CB5DF5" w:rsidRDefault="0075370F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Discussion is highly relevant and shows deep consideration for the complexities of working in a cross-cultural situation as an expatriate. </w:t>
            </w:r>
          </w:p>
        </w:tc>
        <w:tc>
          <w:tcPr>
            <w:tcW w:w="7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562700" w14:textId="5D316CF9" w:rsidR="00EB63FB" w:rsidRPr="00CB5DF5" w:rsidRDefault="00CB5DF5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Discussion is mostly relevant and shows great consideration for the complexities of working in a cross-cultural situation as an expatriate.</w:t>
            </w:r>
          </w:p>
        </w:tc>
        <w:tc>
          <w:tcPr>
            <w:tcW w:w="82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230597" w14:textId="4240928C" w:rsidR="00EB63FB" w:rsidRPr="00CB5DF5" w:rsidRDefault="00CB5DF5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Discussion is relevant and shows some consideration for the complexities of working in a cross-cultural situation as an expatriate.</w:t>
            </w:r>
          </w:p>
        </w:tc>
        <w:tc>
          <w:tcPr>
            <w:tcW w:w="83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9A3C7C" w14:textId="0E7697F6" w:rsidR="00EB63FB" w:rsidRPr="00CB5DF5" w:rsidRDefault="00CB5DF5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>Discussion is basic and shows basic consideration for the complexities of working in a cross-cultural situation as an expatriate.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0F3797" w14:textId="6BC39D95" w:rsidR="00EB63FB" w:rsidRPr="00CB5DF5" w:rsidRDefault="0075370F" w:rsidP="0064485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CB5DF5">
              <w:rPr>
                <w:rFonts w:ascii="Arial" w:hAnsi="Arial" w:cs="Arial"/>
                <w:sz w:val="19"/>
                <w:szCs w:val="19"/>
              </w:rPr>
              <w:t xml:space="preserve">Discussion is missing or not relevant to the case study. </w:t>
            </w:r>
          </w:p>
        </w:tc>
      </w:tr>
      <w:tr w:rsidR="00443161" w:rsidRPr="0075370F" w14:paraId="3F628228" w14:textId="77777777" w:rsidTr="00CB5DF5">
        <w:trPr>
          <w:trHeight w:val="5057"/>
        </w:trPr>
        <w:tc>
          <w:tcPr>
            <w:tcW w:w="764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2C6C02" w14:textId="77777777" w:rsidR="00443161" w:rsidRPr="00CB5DF5" w:rsidRDefault="00443161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CB5DF5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lastRenderedPageBreak/>
              <w:t>Academic writing (including grammar, spelling &amp; punctuation) and referencing.</w:t>
            </w:r>
            <w:r w:rsidRPr="00CB5DF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Pr="00CB5DF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="00E70ACD" w:rsidRPr="00CB5DF5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>3</w:t>
            </w:r>
            <w:r w:rsidRPr="00CB5DF5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9"/>
                <w:szCs w:val="19"/>
              </w:rPr>
              <w:t xml:space="preserve">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385500" w14:textId="77777777" w:rsidR="00443161" w:rsidRPr="00CB5DF5" w:rsidRDefault="00443161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874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21DDC2" w14:textId="77777777" w:rsidR="00443161" w:rsidRPr="00CB5DF5" w:rsidRDefault="004431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Written material is presented with no spelling, grammatical, or punctuation errors AND referencing demonstrates academic integrity.</w:t>
            </w:r>
          </w:p>
          <w:p w14:paraId="68451F96" w14:textId="77777777" w:rsidR="00443161" w:rsidRPr="00CB5DF5" w:rsidRDefault="00443161" w:rsidP="007D24D6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All sources are traceable and acknowledged with in-text citations and a reference list entry which is</w:t>
            </w:r>
            <w:r w:rsidR="003A78DC" w:rsidRPr="00CB5DF5">
              <w:rPr>
                <w:rFonts w:ascii="Arial" w:hAnsi="Arial" w:cs="Arial"/>
                <w:color w:val="000000"/>
                <w:sz w:val="19"/>
                <w:szCs w:val="19"/>
              </w:rPr>
              <w:t xml:space="preserve"> formatted consistently in APA 7</w:t>
            </w: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th ed. style. </w:t>
            </w: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The URL is provided for online sources.</w:t>
            </w:r>
          </w:p>
        </w:tc>
        <w:tc>
          <w:tcPr>
            <w:tcW w:w="737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D99B9B" w14:textId="77777777" w:rsidR="00443161" w:rsidRPr="00CB5DF5" w:rsidRDefault="004431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Written material is presented with minor spelling, grammatical, or punctuation errors AND referencing demonstrates academic integrity.</w:t>
            </w:r>
          </w:p>
          <w:p w14:paraId="3D33592F" w14:textId="77777777" w:rsidR="00443161" w:rsidRPr="00CB5DF5" w:rsidRDefault="00443161" w:rsidP="001E05E8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All sources are traceable and acknowledged with in-text citations and a reference list entry which is formatted consistently, although there</w:t>
            </w:r>
            <w:r w:rsidR="003A78DC" w:rsidRPr="00CB5DF5">
              <w:rPr>
                <w:rFonts w:ascii="Arial" w:hAnsi="Arial" w:cs="Arial"/>
                <w:color w:val="000000"/>
                <w:sz w:val="19"/>
                <w:szCs w:val="19"/>
              </w:rPr>
              <w:t xml:space="preserve"> are a few minor errors in APA 7</w:t>
            </w: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th ed. style. </w:t>
            </w: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The URL is provided for online sources.</w:t>
            </w:r>
          </w:p>
        </w:tc>
        <w:tc>
          <w:tcPr>
            <w:tcW w:w="829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F12BAD" w14:textId="77777777" w:rsidR="00443161" w:rsidRPr="00CB5DF5" w:rsidRDefault="004431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Written material is presented with some spelling, grammatical, or punctuation errors however they do not affect meaning AND referencing demonstrates academic integrity.</w:t>
            </w:r>
          </w:p>
          <w:p w14:paraId="40257040" w14:textId="77777777" w:rsidR="00443161" w:rsidRPr="00CB5DF5" w:rsidRDefault="00443161" w:rsidP="003F2C3A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All sources are traceable and acknowledged with in-text citations and a reference list entry which is formatted consistently, although there ar</w:t>
            </w:r>
            <w:r w:rsidR="003A78DC" w:rsidRPr="00CB5DF5">
              <w:rPr>
                <w:rFonts w:ascii="Arial" w:hAnsi="Arial" w:cs="Arial"/>
                <w:color w:val="000000"/>
                <w:sz w:val="19"/>
                <w:szCs w:val="19"/>
              </w:rPr>
              <w:t>e frequent minor errors in APA 7</w:t>
            </w: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th ed. style. </w:t>
            </w: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The URL is provided for online sources.</w:t>
            </w:r>
          </w:p>
        </w:tc>
        <w:tc>
          <w:tcPr>
            <w:tcW w:w="830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50305F" w14:textId="77777777" w:rsidR="00443161" w:rsidRPr="00CB5DF5" w:rsidRDefault="00443161" w:rsidP="00B92B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Written material is presented with frequent spelling, grammatical, or punctuation errors that have some effect on meaning AND referencing demonstrates academic integrity.</w:t>
            </w:r>
            <w:r w:rsidR="009347C6" w:rsidRPr="00CB5DF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All sources are traceable and acknowledged with in-text citations and a reference list e</w:t>
            </w:r>
            <w:r w:rsidR="003A78DC" w:rsidRPr="00CB5DF5">
              <w:rPr>
                <w:rFonts w:ascii="Arial" w:hAnsi="Arial" w:cs="Arial"/>
                <w:color w:val="000000"/>
                <w:sz w:val="19"/>
                <w:szCs w:val="19"/>
              </w:rPr>
              <w:t>ntry which is formatted in APA 7</w:t>
            </w: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th ed. style but contain frequent errors. </w:t>
            </w:r>
            <w:r w:rsidRPr="00CB5DF5">
              <w:rPr>
                <w:rStyle w:val="Strong"/>
                <w:rFonts w:ascii="Arial" w:hAnsi="Arial" w:cs="Arial"/>
                <w:color w:val="000000"/>
                <w:sz w:val="19"/>
                <w:szCs w:val="19"/>
              </w:rPr>
              <w:t>The URL is provided for online sources.</w:t>
            </w:r>
          </w:p>
        </w:tc>
        <w:tc>
          <w:tcPr>
            <w:tcW w:w="716" w:type="pc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5CA6A5" w14:textId="77777777" w:rsidR="00443161" w:rsidRPr="00CB5DF5" w:rsidRDefault="004431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Written material is presented with frequent spelling, grammatical, and punctuation errors that affect meaning AND referencing demonstrates lapses in academic integrity.</w:t>
            </w:r>
          </w:p>
          <w:p w14:paraId="2F71E4C7" w14:textId="77777777" w:rsidR="00443161" w:rsidRPr="00CB5DF5" w:rsidRDefault="00443161" w:rsidP="001C57FE">
            <w:pPr>
              <w:pStyle w:val="NormalWeb"/>
              <w:spacing w:before="0" w:after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 xml:space="preserve">Sources are not always acknowledged with in-text citations and/or a reference list entry; and/or formatting is </w:t>
            </w:r>
            <w:r w:rsidR="003A78DC" w:rsidRPr="00CB5DF5">
              <w:rPr>
                <w:rFonts w:ascii="Arial" w:hAnsi="Arial" w:cs="Arial"/>
                <w:color w:val="000000"/>
                <w:sz w:val="19"/>
                <w:szCs w:val="19"/>
              </w:rPr>
              <w:t>not at all consistent with APA 7</w:t>
            </w:r>
            <w:r w:rsidRPr="00CB5DF5">
              <w:rPr>
                <w:rFonts w:ascii="Arial" w:hAnsi="Arial" w:cs="Arial"/>
                <w:color w:val="000000"/>
                <w:sz w:val="19"/>
                <w:szCs w:val="19"/>
              </w:rPr>
              <w:t>th ed. style; and/or formatting errors impact the traceability of the source.</w:t>
            </w:r>
          </w:p>
        </w:tc>
      </w:tr>
      <w:tr w:rsidR="00443161" w:rsidRPr="0075370F" w14:paraId="3D8A9AF5" w14:textId="77777777" w:rsidTr="00CB5DF5">
        <w:tc>
          <w:tcPr>
            <w:tcW w:w="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280688" w14:textId="77777777" w:rsidR="00443161" w:rsidRPr="0075370F" w:rsidRDefault="0094565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70F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Total 3</w:t>
            </w:r>
            <w:r w:rsidR="00443161" w:rsidRPr="0075370F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0 marks</w:t>
            </w:r>
          </w:p>
        </w:tc>
        <w:tc>
          <w:tcPr>
            <w:tcW w:w="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8F6C9E" w14:textId="77777777" w:rsidR="00443161" w:rsidRPr="0075370F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70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6" w:type="pct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46C1BE" w14:textId="77777777" w:rsidR="00443161" w:rsidRPr="0075370F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370F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  <w:p w14:paraId="79834F6A" w14:textId="77777777" w:rsidR="00443161" w:rsidRPr="0075370F" w:rsidRDefault="00443161" w:rsidP="004431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9676FD1" w14:textId="77777777" w:rsidR="009273C4" w:rsidRPr="0075370F" w:rsidRDefault="009273C4">
      <w:pPr>
        <w:rPr>
          <w:rFonts w:ascii="Arial" w:hAnsi="Arial" w:cs="Arial"/>
          <w:sz w:val="20"/>
          <w:szCs w:val="20"/>
        </w:rPr>
      </w:pPr>
    </w:p>
    <w:sectPr w:rsidR="009273C4" w:rsidRPr="0075370F" w:rsidSect="00C61F54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4D9"/>
    <w:multiLevelType w:val="hybridMultilevel"/>
    <w:tmpl w:val="D4AC5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8A5"/>
    <w:multiLevelType w:val="hybridMultilevel"/>
    <w:tmpl w:val="1D3A98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3850"/>
    <w:multiLevelType w:val="hybridMultilevel"/>
    <w:tmpl w:val="D4AC5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0B7"/>
    <w:multiLevelType w:val="hybridMultilevel"/>
    <w:tmpl w:val="D4AC5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D71D2"/>
    <w:multiLevelType w:val="hybridMultilevel"/>
    <w:tmpl w:val="D4AC5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0633F"/>
    <w:multiLevelType w:val="hybridMultilevel"/>
    <w:tmpl w:val="EC2877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56ED"/>
    <w:multiLevelType w:val="hybridMultilevel"/>
    <w:tmpl w:val="EC2877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54"/>
    <w:rsid w:val="00051B7D"/>
    <w:rsid w:val="000A3ECF"/>
    <w:rsid w:val="000C5027"/>
    <w:rsid w:val="001404E7"/>
    <w:rsid w:val="00201AA0"/>
    <w:rsid w:val="00282948"/>
    <w:rsid w:val="002F5152"/>
    <w:rsid w:val="003A78DC"/>
    <w:rsid w:val="003D7578"/>
    <w:rsid w:val="00443161"/>
    <w:rsid w:val="00581081"/>
    <w:rsid w:val="00596C61"/>
    <w:rsid w:val="005B7FAC"/>
    <w:rsid w:val="00603D83"/>
    <w:rsid w:val="0061568D"/>
    <w:rsid w:val="0064485A"/>
    <w:rsid w:val="0075370F"/>
    <w:rsid w:val="00890633"/>
    <w:rsid w:val="008A7FFB"/>
    <w:rsid w:val="00922C6A"/>
    <w:rsid w:val="009273C4"/>
    <w:rsid w:val="00933024"/>
    <w:rsid w:val="009347C6"/>
    <w:rsid w:val="0093703C"/>
    <w:rsid w:val="00945651"/>
    <w:rsid w:val="009617BE"/>
    <w:rsid w:val="0099279F"/>
    <w:rsid w:val="009C13AD"/>
    <w:rsid w:val="00A108C5"/>
    <w:rsid w:val="00A570E0"/>
    <w:rsid w:val="00AA4774"/>
    <w:rsid w:val="00B130D6"/>
    <w:rsid w:val="00B429F5"/>
    <w:rsid w:val="00C07BE7"/>
    <w:rsid w:val="00C40410"/>
    <w:rsid w:val="00C51948"/>
    <w:rsid w:val="00C61F54"/>
    <w:rsid w:val="00CB5DF5"/>
    <w:rsid w:val="00D21772"/>
    <w:rsid w:val="00D24E0F"/>
    <w:rsid w:val="00D440A1"/>
    <w:rsid w:val="00DB592B"/>
    <w:rsid w:val="00DC5717"/>
    <w:rsid w:val="00E70ACD"/>
    <w:rsid w:val="00E76588"/>
    <w:rsid w:val="00EB63FB"/>
    <w:rsid w:val="00EE4FCD"/>
    <w:rsid w:val="00F32387"/>
    <w:rsid w:val="00F476AE"/>
    <w:rsid w:val="00FB22EC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EB03E"/>
  <w15:chartTrackingRefBased/>
  <w15:docId w15:val="{7202B938-653F-4670-AD63-A34CE765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7658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1F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47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1948"/>
    <w:rPr>
      <w:b/>
      <w:bCs/>
    </w:rPr>
  </w:style>
  <w:style w:type="character" w:styleId="Hyperlink">
    <w:name w:val="Hyperlink"/>
    <w:basedOn w:val="DefaultParagraphFont"/>
    <w:uiPriority w:val="99"/>
    <w:unhideWhenUsed/>
    <w:rsid w:val="009927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C6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76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83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1478</Words>
  <Characters>8398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Dunlop, Elizabeth</dc:creator>
  <cp:keywords/>
  <dc:description/>
  <cp:lastModifiedBy>Thornton, Megan</cp:lastModifiedBy>
  <cp:revision>2</cp:revision>
  <dcterms:created xsi:type="dcterms:W3CDTF">2021-12-09T04:22:00Z</dcterms:created>
  <dcterms:modified xsi:type="dcterms:W3CDTF">2021-12-09T04:22:00Z</dcterms:modified>
</cp:coreProperties>
</file>