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ECACD">
      <w:pPr>
        <w:spacing w:line="360" w:lineRule="auto"/>
        <w:ind w:firstLine="2"/>
      </w:pPr>
      <w:r>
        <w:pict>
          <v:shape id="_x0000_s2059" o:spid="_x0000_s2059" style="height:1.45pt;width:449.65pt;" fillcolor="#7D3B05" filled="t" stroked="f" coordsize="8992,29" path="m0,0l8992,0,8992,28,0,28,0,0xe">
            <v:path/>
            <v:fill on="t" focussize="0,0"/>
            <v:stroke on="f"/>
            <v:imagedata o:title=""/>
            <o:lock v:ext="edit"/>
            <w10:wrap type="none"/>
            <w10:anchorlock/>
          </v:shape>
        </w:pict>
      </w:r>
    </w:p>
    <w:p w14:paraId="77EBE1EE">
      <w:pPr>
        <w:spacing w:line="360" w:lineRule="auto"/>
        <w:ind w:left="830"/>
        <w:rPr>
          <w:rFonts w:ascii="华文中宋" w:hAnsi="华文中宋" w:eastAsia="华文中宋" w:cs="华文中宋"/>
          <w:sz w:val="31"/>
          <w:szCs w:val="31"/>
          <w:lang w:eastAsia="zh-CN"/>
        </w:rPr>
      </w:pPr>
      <w:r>
        <w:rPr>
          <w:rFonts w:ascii="华文中宋" w:hAnsi="华文中宋" w:eastAsia="华文中宋" w:cs="华文中宋"/>
          <w:spacing w:val="9"/>
          <w:sz w:val="31"/>
          <w:szCs w:val="31"/>
          <w:lang w:eastAsia="zh-CN"/>
          <w14:textOutline w14:w="5791" w14:cap="sq" w14:cmpd="sng" w14:algn="ctr">
            <w14:solidFill>
              <w14:srgbClr w14:val="000000"/>
            </w14:solidFill>
            <w14:prstDash w14:val="solid"/>
            <w14:bevel/>
          </w14:textOutline>
        </w:rPr>
        <w:t>吉林财经大学国际交流学院推荐优秀应届本科毕业生</w:t>
      </w:r>
    </w:p>
    <w:p w14:paraId="73DD44D7">
      <w:pPr>
        <w:spacing w:line="360" w:lineRule="auto"/>
        <w:ind w:left="1790"/>
        <w:outlineLvl w:val="0"/>
        <w:rPr>
          <w:rFonts w:ascii="华文中宋" w:hAnsi="华文中宋" w:eastAsia="华文中宋" w:cs="华文中宋"/>
          <w:sz w:val="31"/>
          <w:szCs w:val="31"/>
          <w:lang w:eastAsia="zh-CN"/>
        </w:rPr>
      </w:pPr>
      <w:r>
        <w:rPr>
          <w:rFonts w:ascii="华文中宋" w:hAnsi="华文中宋" w:eastAsia="华文中宋" w:cs="华文中宋"/>
          <w:spacing w:val="8"/>
          <w:position w:val="5"/>
          <w:sz w:val="31"/>
          <w:szCs w:val="31"/>
          <w:lang w:eastAsia="zh-CN"/>
          <w14:textOutline w14:w="5791" w14:cap="sq" w14:cmpd="sng" w14:algn="ctr">
            <w14:solidFill>
              <w14:srgbClr w14:val="000000"/>
            </w14:solidFill>
            <w14:prstDash w14:val="solid"/>
            <w14:bevel/>
          </w14:textOutline>
        </w:rPr>
        <w:t>免试攻读研究生选拔工作细则（试行）</w:t>
      </w:r>
    </w:p>
    <w:p w14:paraId="4957BCAC">
      <w:pPr>
        <w:spacing w:line="360" w:lineRule="auto"/>
        <w:ind w:left="3468"/>
        <w:outlineLvl w:val="0"/>
        <w:rPr>
          <w:rFonts w:ascii="华文中宋" w:hAnsi="华文中宋" w:eastAsia="华文中宋" w:cs="华文中宋"/>
          <w:sz w:val="31"/>
          <w:szCs w:val="31"/>
          <w:lang w:eastAsia="zh-CN"/>
        </w:rPr>
      </w:pPr>
      <w:r>
        <w:rPr>
          <w:rFonts w:ascii="Times New Roman" w:hAnsi="Times New Roman" w:eastAsia="Times New Roman" w:cs="Times New Roman"/>
          <w:b/>
          <w:bCs/>
          <w:spacing w:val="-1"/>
          <w:position w:val="6"/>
          <w:sz w:val="31"/>
          <w:szCs w:val="31"/>
          <w:lang w:eastAsia="zh-CN"/>
        </w:rPr>
        <w:t>(202</w:t>
      </w:r>
      <w:r>
        <w:rPr>
          <w:rFonts w:hint="eastAsia" w:ascii="Times New Roman" w:hAnsi="Times New Roman" w:eastAsia="宋体" w:cs="Times New Roman"/>
          <w:b/>
          <w:bCs/>
          <w:spacing w:val="-1"/>
          <w:position w:val="6"/>
          <w:sz w:val="31"/>
          <w:szCs w:val="31"/>
          <w:lang w:val="en-US" w:eastAsia="zh-CN"/>
        </w:rPr>
        <w:t>5</w:t>
      </w:r>
      <w:r>
        <w:rPr>
          <w:rFonts w:ascii="华文中宋" w:hAnsi="华文中宋" w:eastAsia="华文中宋" w:cs="华文中宋"/>
          <w:spacing w:val="-1"/>
          <w:position w:val="6"/>
          <w:sz w:val="31"/>
          <w:szCs w:val="31"/>
          <w:lang w:eastAsia="zh-CN"/>
          <w14:textOutline w14:w="5791" w14:cap="sq" w14:cmpd="sng" w14:algn="ctr">
            <w14:solidFill>
              <w14:srgbClr w14:val="000000"/>
            </w14:solidFill>
            <w14:prstDash w14:val="solid"/>
            <w14:bevel/>
          </w14:textOutline>
        </w:rPr>
        <w:t>年</w:t>
      </w:r>
      <w:r>
        <w:rPr>
          <w:rFonts w:ascii="华文中宋" w:hAnsi="华文中宋" w:eastAsia="华文中宋" w:cs="华文中宋"/>
          <w:spacing w:val="-1"/>
          <w:position w:val="6"/>
          <w:sz w:val="31"/>
          <w:szCs w:val="31"/>
          <w:lang w:eastAsia="zh-CN"/>
        </w:rPr>
        <w:t xml:space="preserve"> </w:t>
      </w:r>
      <w:r>
        <w:rPr>
          <w:rFonts w:hint="eastAsia" w:ascii="华文中宋" w:hAnsi="华文中宋" w:eastAsia="华文中宋" w:cs="华文中宋"/>
          <w:spacing w:val="-1"/>
          <w:position w:val="6"/>
          <w:sz w:val="31"/>
          <w:szCs w:val="31"/>
          <w:lang w:val="en-US" w:eastAsia="zh-CN"/>
        </w:rPr>
        <w:t>9</w:t>
      </w:r>
      <w:r>
        <w:rPr>
          <w:rFonts w:ascii="Times New Roman" w:hAnsi="Times New Roman" w:eastAsia="Times New Roman" w:cs="Times New Roman"/>
          <w:b/>
          <w:bCs/>
          <w:spacing w:val="-1"/>
          <w:position w:val="6"/>
          <w:sz w:val="31"/>
          <w:szCs w:val="31"/>
          <w:lang w:eastAsia="zh-CN"/>
        </w:rPr>
        <w:t xml:space="preserve"> </w:t>
      </w:r>
      <w:r>
        <w:rPr>
          <w:rFonts w:ascii="华文中宋" w:hAnsi="华文中宋" w:eastAsia="华文中宋" w:cs="华文中宋"/>
          <w:spacing w:val="-1"/>
          <w:position w:val="6"/>
          <w:sz w:val="31"/>
          <w:szCs w:val="31"/>
          <w:lang w:eastAsia="zh-CN"/>
          <w14:textOutline w14:w="5791" w14:cap="sq" w14:cmpd="sng" w14:algn="ctr">
            <w14:solidFill>
              <w14:srgbClr w14:val="000000"/>
            </w14:solidFill>
            <w14:prstDash w14:val="solid"/>
            <w14:bevel/>
          </w14:textOutline>
        </w:rPr>
        <w:t>月）</w:t>
      </w:r>
    </w:p>
    <w:p w14:paraId="4713D5E3">
      <w:pPr>
        <w:pStyle w:val="2"/>
        <w:spacing w:line="360" w:lineRule="auto"/>
        <w:ind w:firstLine="479" w:firstLineChars="205"/>
        <w:jc w:val="both"/>
        <w:rPr>
          <w:lang w:eastAsia="zh-CN"/>
        </w:rPr>
      </w:pPr>
      <w:r>
        <w:rPr>
          <w:spacing w:val="-3"/>
          <w:lang w:eastAsia="zh-CN"/>
        </w:rPr>
        <w:t>为了进一步规范我院推荐优秀应届本科毕业生免试攻读研究生工作，根据《吉林财经大学推荐优秀应届本科毕业生免试攻读研究生工作管理办法（试行）》，结</w:t>
      </w:r>
      <w:r>
        <w:rPr>
          <w:spacing w:val="-4"/>
          <w:lang w:eastAsia="zh-CN"/>
        </w:rPr>
        <w:t>合学</w:t>
      </w:r>
      <w:r>
        <w:rPr>
          <w:spacing w:val="-1"/>
          <w:lang w:eastAsia="zh-CN"/>
        </w:rPr>
        <w:t>院实际情况，国际交流学院制定本工作细则，具体如</w:t>
      </w:r>
      <w:r>
        <w:rPr>
          <w:spacing w:val="-2"/>
          <w:lang w:eastAsia="zh-CN"/>
        </w:rPr>
        <w:t>下：</w:t>
      </w:r>
    </w:p>
    <w:p w14:paraId="4CE5EDAF">
      <w:pPr>
        <w:pStyle w:val="2"/>
        <w:spacing w:line="360" w:lineRule="auto"/>
        <w:ind w:left="497"/>
        <w:jc w:val="both"/>
        <w:rPr>
          <w:rFonts w:asciiTheme="minorEastAsia" w:hAnsiTheme="minorEastAsia" w:eastAsiaTheme="minorEastAsia"/>
          <w:lang w:eastAsia="zh-CN"/>
        </w:rPr>
      </w:pPr>
      <w:r>
        <w:rPr>
          <w:rFonts w:asciiTheme="minorEastAsia" w:hAnsiTheme="minorEastAsia" w:eastAsiaTheme="minorEastAsia"/>
          <w:spacing w:val="-1"/>
          <w:lang w:eastAsia="zh-CN"/>
          <w14:textOutline w14:w="4356" w14:cap="sq" w14:cmpd="sng" w14:algn="ctr">
            <w14:solidFill>
              <w14:srgbClr w14:val="000000"/>
            </w14:solidFill>
            <w14:prstDash w14:val="solid"/>
            <w14:bevel/>
          </w14:textOutline>
        </w:rPr>
        <w:t>一、指导思想和原则</w:t>
      </w:r>
    </w:p>
    <w:p w14:paraId="3BD976D4">
      <w:pPr>
        <w:pStyle w:val="2"/>
        <w:spacing w:line="360" w:lineRule="auto"/>
        <w:ind w:firstLine="496" w:firstLineChars="207"/>
        <w:jc w:val="both"/>
        <w:rPr>
          <w:lang w:eastAsia="zh-CN"/>
        </w:rPr>
      </w:pPr>
      <w:r>
        <w:rPr>
          <w:lang w:eastAsia="zh-CN"/>
        </w:rPr>
        <w:t>坚持立德树人根本任务，遵循公平、公正、</w:t>
      </w:r>
      <w:r>
        <w:rPr>
          <w:spacing w:val="-1"/>
          <w:lang w:eastAsia="zh-CN"/>
        </w:rPr>
        <w:t>公开原则，做到德智体美劳全面衡</w:t>
      </w:r>
      <w:r>
        <w:rPr>
          <w:lang w:eastAsia="zh-CN"/>
        </w:rPr>
        <w:t>量、以德为先，把学生思想政治品德作为推免生遴选的重要</w:t>
      </w:r>
      <w:r>
        <w:rPr>
          <w:spacing w:val="-1"/>
          <w:lang w:eastAsia="zh-CN"/>
        </w:rPr>
        <w:t>内容；注重对学生政治态</w:t>
      </w:r>
      <w:r>
        <w:rPr>
          <w:lang w:eastAsia="zh-CN"/>
        </w:rPr>
        <w:t>度，思想表现、道德品质、科学精神、诚实守信、遵纪守法等</w:t>
      </w:r>
      <w:r>
        <w:rPr>
          <w:spacing w:val="-1"/>
          <w:lang w:eastAsia="zh-CN"/>
        </w:rPr>
        <w:t>方面的考察；突出考查</w:t>
      </w:r>
      <w:r>
        <w:rPr>
          <w:lang w:eastAsia="zh-CN"/>
        </w:rPr>
        <w:t>学生的一贯表现，将本科阶段学业综合成绩</w:t>
      </w:r>
      <w:r>
        <w:rPr>
          <w:spacing w:val="-1"/>
          <w:lang w:eastAsia="zh-CN"/>
        </w:rPr>
        <w:t>作为推免生遴选工作的最重要指标。</w:t>
      </w:r>
    </w:p>
    <w:p w14:paraId="0B6721F3">
      <w:pPr>
        <w:pStyle w:val="2"/>
        <w:spacing w:line="360" w:lineRule="auto"/>
        <w:ind w:left="495"/>
        <w:jc w:val="both"/>
        <w:rPr>
          <w:lang w:eastAsia="zh-CN"/>
        </w:rPr>
      </w:pPr>
      <w:r>
        <w:rPr>
          <w:spacing w:val="-2"/>
          <w:lang w:eastAsia="zh-CN"/>
          <w14:textOutline w14:w="4356" w14:cap="sq" w14:cmpd="sng" w14:algn="ctr">
            <w14:solidFill>
              <w14:srgbClr w14:val="000000"/>
            </w14:solidFill>
            <w14:prstDash w14:val="solid"/>
            <w14:bevel/>
          </w14:textOutline>
        </w:rPr>
        <w:t>二、组织领导</w:t>
      </w:r>
    </w:p>
    <w:p w14:paraId="495ED9F3">
      <w:pPr>
        <w:pStyle w:val="2"/>
        <w:spacing w:line="360" w:lineRule="auto"/>
        <w:ind w:left="17" w:right="113" w:firstLine="482"/>
        <w:jc w:val="both"/>
        <w:rPr>
          <w:lang w:eastAsia="zh-CN"/>
        </w:rPr>
      </w:pPr>
      <w:r>
        <w:rPr>
          <w:lang w:eastAsia="zh-CN"/>
        </w:rPr>
        <w:t>学院成立推免生遴选工作领导小组，由学院</w:t>
      </w:r>
      <w:r>
        <w:rPr>
          <w:spacing w:val="-1"/>
          <w:lang w:eastAsia="zh-CN"/>
        </w:rPr>
        <w:t>有关负责人和教师代表组成，全面统</w:t>
      </w:r>
      <w:r>
        <w:rPr>
          <w:lang w:eastAsia="zh-CN"/>
        </w:rPr>
        <w:t>筹推免生遴选工作。学院成立推免生遴选工作小</w:t>
      </w:r>
      <w:r>
        <w:rPr>
          <w:spacing w:val="-1"/>
          <w:lang w:eastAsia="zh-CN"/>
        </w:rPr>
        <w:t>组，</w:t>
      </w:r>
      <w:r>
        <w:rPr>
          <w:color w:val="auto"/>
          <w:spacing w:val="-1"/>
          <w:highlight w:val="none"/>
          <w:lang w:eastAsia="zh-CN"/>
        </w:rPr>
        <w:t>由学院院长、</w:t>
      </w:r>
      <w:r>
        <w:rPr>
          <w:rFonts w:hint="eastAsia"/>
          <w:color w:val="auto"/>
          <w:spacing w:val="-1"/>
          <w:highlight w:val="none"/>
          <w:lang w:val="en-US" w:eastAsia="zh-CN"/>
        </w:rPr>
        <w:t>学院党委书记、学生工作负责人、</w:t>
      </w:r>
      <w:r>
        <w:rPr>
          <w:color w:val="auto"/>
          <w:spacing w:val="-1"/>
          <w:highlight w:val="none"/>
          <w:lang w:eastAsia="zh-CN"/>
        </w:rPr>
        <w:t>教学委员会主任委</w:t>
      </w:r>
      <w:r>
        <w:rPr>
          <w:color w:val="auto"/>
          <w:highlight w:val="none"/>
          <w:lang w:eastAsia="zh-CN"/>
        </w:rPr>
        <w:t>员</w:t>
      </w:r>
      <w:r>
        <w:rPr>
          <w:rFonts w:hint="eastAsia"/>
          <w:color w:val="auto"/>
          <w:highlight w:val="none"/>
          <w:lang w:eastAsia="zh-CN"/>
        </w:rPr>
        <w:t>、</w:t>
      </w:r>
      <w:r>
        <w:rPr>
          <w:color w:val="auto"/>
          <w:highlight w:val="none"/>
          <w:lang w:eastAsia="zh-CN"/>
        </w:rPr>
        <w:t>教师代表</w:t>
      </w:r>
      <w:r>
        <w:rPr>
          <w:rFonts w:hint="eastAsia"/>
          <w:color w:val="auto"/>
          <w:highlight w:val="none"/>
          <w:lang w:val="en-US" w:eastAsia="zh-CN"/>
        </w:rPr>
        <w:t>和学生代表</w:t>
      </w:r>
      <w:r>
        <w:rPr>
          <w:color w:val="auto"/>
          <w:highlight w:val="none"/>
          <w:lang w:eastAsia="zh-CN"/>
        </w:rPr>
        <w:t>组成</w:t>
      </w:r>
      <w:r>
        <w:rPr>
          <w:lang w:eastAsia="zh-CN"/>
        </w:rPr>
        <w:t>，负责学院推免生遴选工作实</w:t>
      </w:r>
      <w:r>
        <w:rPr>
          <w:spacing w:val="-1"/>
          <w:lang w:eastAsia="zh-CN"/>
        </w:rPr>
        <w:t>施细则的制定和组织实施。推免生遴选工作小组成员名单及联系方式在工作开始前报教务处备案。</w:t>
      </w:r>
    </w:p>
    <w:p w14:paraId="2025FF94">
      <w:pPr>
        <w:pStyle w:val="2"/>
        <w:spacing w:line="360" w:lineRule="auto"/>
        <w:ind w:left="491"/>
        <w:jc w:val="both"/>
        <w:rPr>
          <w:lang w:eastAsia="zh-CN"/>
        </w:rPr>
      </w:pPr>
      <w:r>
        <w:rPr>
          <w:lang w:eastAsia="zh-CN"/>
          <w14:textOutline w14:w="4356" w14:cap="sq" w14:cmpd="sng" w14:algn="ctr">
            <w14:solidFill>
              <w14:srgbClr w14:val="000000"/>
            </w14:solidFill>
            <w14:prstDash w14:val="solid"/>
            <w14:bevel/>
          </w14:textOutline>
        </w:rPr>
        <w:t>三、推免生应具备的条件</w:t>
      </w:r>
    </w:p>
    <w:p w14:paraId="3ABDE99A">
      <w:pPr>
        <w:pStyle w:val="2"/>
        <w:spacing w:line="360" w:lineRule="auto"/>
        <w:ind w:firstLine="424" w:firstLineChars="177"/>
        <w:rPr>
          <w:lang w:eastAsia="zh-CN"/>
        </w:rPr>
      </w:pPr>
      <w:r>
        <w:rPr>
          <w:lang w:eastAsia="zh-CN"/>
        </w:rPr>
        <w:t>1</w:t>
      </w:r>
      <w:r>
        <w:rPr>
          <w:rFonts w:hint="eastAsia"/>
          <w:lang w:eastAsia="zh-CN"/>
        </w:rPr>
        <w:t>.</w:t>
      </w:r>
      <w:r>
        <w:rPr>
          <w:lang w:eastAsia="zh-CN"/>
        </w:rPr>
        <w:t xml:space="preserve"> 拥护中国共产党的领导，社会主义理想信念坚定，具有高尚的爱国主义情操和集体主义精神，社会责任感强，遵纪守法，积极向上，身体心理健康。</w:t>
      </w:r>
    </w:p>
    <w:p w14:paraId="3DAA0FA4">
      <w:pPr>
        <w:pStyle w:val="2"/>
        <w:spacing w:line="360" w:lineRule="auto"/>
        <w:ind w:firstLine="424" w:firstLineChars="177"/>
        <w:rPr>
          <w:lang w:eastAsia="zh-CN"/>
        </w:rPr>
      </w:pPr>
      <w:r>
        <w:rPr>
          <w:lang w:eastAsia="zh-CN"/>
        </w:rPr>
        <w:t>2</w:t>
      </w:r>
      <w:r>
        <w:rPr>
          <w:rFonts w:hint="eastAsia"/>
          <w:lang w:eastAsia="zh-CN"/>
        </w:rPr>
        <w:t>.</w:t>
      </w:r>
      <w:r>
        <w:rPr>
          <w:lang w:eastAsia="zh-CN"/>
        </w:rPr>
        <w:t xml:space="preserve"> 纳入国家普通本科招生计划录取的应届毕业生（不含专升本、第二学士学位</w:t>
      </w:r>
      <w:r>
        <w:rPr>
          <w:rFonts w:hint="eastAsia"/>
          <w:lang w:eastAsia="zh-CN"/>
        </w:rPr>
        <w:t>）</w:t>
      </w:r>
      <w:r>
        <w:rPr>
          <w:lang w:eastAsia="zh-CN"/>
        </w:rPr>
        <w:t>。</w:t>
      </w:r>
    </w:p>
    <w:p w14:paraId="2C3CCC68">
      <w:pPr>
        <w:pStyle w:val="2"/>
        <w:spacing w:line="360" w:lineRule="auto"/>
        <w:ind w:firstLine="424" w:firstLineChars="177"/>
        <w:rPr>
          <w:lang w:eastAsia="zh-CN"/>
        </w:rPr>
      </w:pPr>
      <w:r>
        <w:rPr>
          <w:lang w:eastAsia="zh-CN"/>
        </w:rPr>
        <w:t>3</w:t>
      </w:r>
      <w:r>
        <w:rPr>
          <w:rFonts w:hint="eastAsia"/>
          <w:lang w:eastAsia="zh-CN"/>
        </w:rPr>
        <w:t>.</w:t>
      </w:r>
      <w:r>
        <w:rPr>
          <w:lang w:eastAsia="zh-CN"/>
        </w:rPr>
        <w:t xml:space="preserve"> 勤奋学习，刻苦钻研，成绩优异。</w:t>
      </w:r>
      <w:r>
        <w:rPr>
          <w:rFonts w:hint="eastAsia"/>
          <w:lang w:val="en-US" w:eastAsia="zh-CN"/>
        </w:rPr>
        <w:t>全部</w:t>
      </w:r>
      <w:r>
        <w:rPr>
          <w:rFonts w:hint="eastAsia"/>
          <w:lang w:eastAsia="zh-CN"/>
        </w:rPr>
        <w:t>中方</w:t>
      </w:r>
      <w:r>
        <w:rPr>
          <w:lang w:eastAsia="zh-CN"/>
        </w:rPr>
        <w:t>课程初修成绩及格</w:t>
      </w:r>
      <w:r>
        <w:rPr>
          <w:rFonts w:hint="eastAsia"/>
          <w:lang w:eastAsia="zh-CN"/>
        </w:rPr>
        <w:t>。全部</w:t>
      </w:r>
      <w:r>
        <w:rPr>
          <w:lang w:eastAsia="zh-CN"/>
        </w:rPr>
        <w:t>理论必修课程加权平均成绩应名列专业前25% 。</w:t>
      </w:r>
    </w:p>
    <w:p w14:paraId="28F86672">
      <w:pPr>
        <w:pStyle w:val="2"/>
        <w:spacing w:line="360" w:lineRule="auto"/>
        <w:ind w:firstLine="424" w:firstLineChars="177"/>
        <w:rPr>
          <w:lang w:eastAsia="zh-CN"/>
        </w:rPr>
      </w:pPr>
      <w:r>
        <w:rPr>
          <w:lang w:eastAsia="zh-CN"/>
        </w:rPr>
        <w:t>外语成绩要求：全国大学外语四级考试成绩在425分以上，或通过PETS—3 级考试；第一外语为其他语种的，需提供等同全国大学外语四级考试的成绩证明。</w:t>
      </w:r>
    </w:p>
    <w:p w14:paraId="48B70538">
      <w:pPr>
        <w:pStyle w:val="2"/>
        <w:spacing w:line="360" w:lineRule="auto"/>
        <w:ind w:firstLine="424" w:firstLineChars="177"/>
        <w:rPr>
          <w:lang w:eastAsia="zh-CN"/>
        </w:rPr>
      </w:pPr>
      <w:r>
        <w:rPr>
          <w:lang w:eastAsia="zh-CN"/>
        </w:rPr>
        <w:t>4</w:t>
      </w:r>
      <w:r>
        <w:rPr>
          <w:rFonts w:hint="eastAsia"/>
          <w:lang w:eastAsia="zh-CN"/>
        </w:rPr>
        <w:t>.</w:t>
      </w:r>
      <w:r>
        <w:rPr>
          <w:lang w:eastAsia="zh-CN"/>
        </w:rPr>
        <w:t xml:space="preserve"> 学术研究兴趣浓厚，有较强的创新意识、创新能力和专业能力倾向。</w:t>
      </w:r>
    </w:p>
    <w:p w14:paraId="1CBE4635">
      <w:pPr>
        <w:pStyle w:val="2"/>
        <w:spacing w:line="360" w:lineRule="auto"/>
        <w:ind w:firstLine="424" w:firstLineChars="177"/>
        <w:rPr>
          <w:lang w:eastAsia="zh-CN"/>
        </w:rPr>
      </w:pPr>
      <w:r>
        <w:rPr>
          <w:lang w:eastAsia="zh-CN"/>
        </w:rPr>
        <w:t>5</w:t>
      </w:r>
      <w:r>
        <w:rPr>
          <w:rFonts w:hint="eastAsia"/>
          <w:lang w:eastAsia="zh-CN"/>
        </w:rPr>
        <w:t>.</w:t>
      </w:r>
      <w:r>
        <w:rPr>
          <w:lang w:eastAsia="zh-CN"/>
        </w:rPr>
        <w:t xml:space="preserve"> 诚实守信，学风端正，无任何考试作弊和剽窃他人学术成果记录。</w:t>
      </w:r>
    </w:p>
    <w:p w14:paraId="2A5BCFBA">
      <w:pPr>
        <w:ind w:firstLine="2"/>
      </w:pPr>
      <w:r>
        <w:pict>
          <v:shape id="_x0000_s2058" o:spid="_x0000_s2058" style="height:1.45pt;width:449.65pt;" fillcolor="#7D3B05" filled="t" stroked="f" coordsize="8992,29" path="m0,0l8992,0,8992,28,0,28,0,0xe">
            <v:path/>
            <v:fill on="t" focussize="0,0"/>
            <v:stroke on="f"/>
            <v:imagedata o:title=""/>
            <o:lock v:ext="edit"/>
            <w10:wrap type="none"/>
            <w10:anchorlock/>
          </v:shape>
        </w:pict>
      </w:r>
    </w:p>
    <w:p w14:paraId="2E271968">
      <w:pPr>
        <w:rPr>
          <w:sz w:val="2"/>
        </w:rPr>
      </w:pPr>
    </w:p>
    <w:p w14:paraId="07AF82F3">
      <w:pPr>
        <w:rPr>
          <w:sz w:val="2"/>
          <w:szCs w:val="2"/>
        </w:rPr>
        <w:sectPr>
          <w:headerReference r:id="rId3" w:type="default"/>
          <w:footerReference r:id="rId4" w:type="default"/>
          <w:pgSz w:w="11906" w:h="16839"/>
          <w:pgMar w:top="1295" w:right="1456" w:bottom="0" w:left="1454" w:header="643" w:footer="0" w:gutter="0"/>
          <w:cols w:equalWidth="0" w:num="1">
            <w:col w:w="8995"/>
          </w:cols>
        </w:sectPr>
      </w:pPr>
    </w:p>
    <w:p w14:paraId="3CE73BBA">
      <w:pPr>
        <w:ind w:left="3"/>
        <w:rPr>
          <w:rFonts w:ascii="微软雅黑" w:hAnsi="微软雅黑" w:eastAsia="微软雅黑" w:cs="微软雅黑"/>
          <w:sz w:val="18"/>
          <w:szCs w:val="18"/>
          <w:lang w:eastAsia="zh-CN"/>
        </w:rPr>
      </w:pPr>
      <w:r>
        <w:rPr>
          <w:rFonts w:ascii="微软雅黑" w:hAnsi="微软雅黑" w:eastAsia="微软雅黑" w:cs="微软雅黑"/>
          <w:color w:val="7D3B05"/>
          <w:spacing w:val="-1"/>
          <w:sz w:val="18"/>
          <w:szCs w:val="18"/>
          <w:lang w:eastAsia="zh-CN"/>
        </w:rPr>
        <w:t>地址：中国•长春  吉林财经大学</w:t>
      </w:r>
    </w:p>
    <w:p w14:paraId="2C9D1266">
      <w:pPr>
        <w:ind w:left="1"/>
        <w:rPr>
          <w:rFonts w:ascii="Tahoma" w:hAnsi="Tahoma" w:eastAsia="Tahoma" w:cs="Tahoma"/>
          <w:sz w:val="18"/>
          <w:szCs w:val="18"/>
        </w:rPr>
      </w:pPr>
      <w:r>
        <w:rPr>
          <w:rFonts w:ascii="Tahoma" w:hAnsi="Tahoma" w:eastAsia="Tahoma" w:cs="Tahoma"/>
          <w:color w:val="7D3B05"/>
          <w:sz w:val="18"/>
          <w:szCs w:val="18"/>
        </w:rPr>
        <w:t>Add: JLUFE, Changchun, Chi</w:t>
      </w:r>
      <w:r>
        <w:rPr>
          <w:rFonts w:ascii="Tahoma" w:hAnsi="Tahoma" w:eastAsia="Tahoma" w:cs="Tahoma"/>
          <w:color w:val="7D3B05"/>
          <w:spacing w:val="-1"/>
          <w:sz w:val="18"/>
          <w:szCs w:val="18"/>
        </w:rPr>
        <w:t>na</w:t>
      </w:r>
    </w:p>
    <w:p w14:paraId="3039A1BA">
      <w:pPr>
        <w:rPr>
          <w:sz w:val="2"/>
        </w:rPr>
      </w:pPr>
      <w:r>
        <w:rPr>
          <w:sz w:val="2"/>
          <w:szCs w:val="2"/>
        </w:rPr>
        <w:br w:type="column"/>
      </w:r>
    </w:p>
    <w:p w14:paraId="46AC4937">
      <w:pPr>
        <w:rPr>
          <w:rFonts w:ascii="Tahoma" w:hAnsi="Tahoma" w:eastAsia="Tahoma" w:cs="Tahoma"/>
          <w:sz w:val="18"/>
          <w:szCs w:val="18"/>
        </w:rPr>
      </w:pPr>
      <w:r>
        <w:rPr>
          <w:rFonts w:ascii="微软雅黑" w:hAnsi="微软雅黑" w:eastAsia="微软雅黑" w:cs="微软雅黑"/>
          <w:color w:val="7D3B05"/>
          <w:spacing w:val="-6"/>
          <w:sz w:val="18"/>
          <w:szCs w:val="18"/>
        </w:rPr>
        <w:t>邮编</w:t>
      </w:r>
      <w:r>
        <w:rPr>
          <w:rFonts w:ascii="微软雅黑" w:hAnsi="微软雅黑" w:eastAsia="微软雅黑" w:cs="微软雅黑"/>
          <w:color w:val="7D3B05"/>
          <w:spacing w:val="-13"/>
          <w:sz w:val="18"/>
          <w:szCs w:val="18"/>
        </w:rPr>
        <w:t xml:space="preserve"> </w:t>
      </w:r>
      <w:r>
        <w:rPr>
          <w:rFonts w:ascii="微软雅黑" w:hAnsi="微软雅黑" w:eastAsia="微软雅黑" w:cs="微软雅黑"/>
          <w:color w:val="7D3B05"/>
          <w:spacing w:val="-6"/>
          <w:sz w:val="18"/>
          <w:szCs w:val="18"/>
        </w:rPr>
        <w:t>：</w:t>
      </w:r>
      <w:r>
        <w:rPr>
          <w:rFonts w:ascii="Tahoma" w:hAnsi="Tahoma" w:eastAsia="Tahoma" w:cs="Tahoma"/>
          <w:color w:val="7D3B05"/>
          <w:spacing w:val="-6"/>
          <w:sz w:val="18"/>
          <w:szCs w:val="18"/>
        </w:rPr>
        <w:t>130117</w:t>
      </w:r>
    </w:p>
    <w:p w14:paraId="306ADA42">
      <w:pPr>
        <w:ind w:left="55"/>
        <w:rPr>
          <w:rFonts w:ascii="Tahoma" w:hAnsi="Tahoma" w:eastAsia="Tahoma" w:cs="Tahoma"/>
          <w:sz w:val="18"/>
          <w:szCs w:val="18"/>
        </w:rPr>
      </w:pPr>
      <w:r>
        <w:rPr>
          <w:rFonts w:ascii="Tahoma" w:hAnsi="Tahoma" w:eastAsia="Tahoma" w:cs="Tahoma"/>
          <w:color w:val="7D3B05"/>
          <w:spacing w:val="-2"/>
          <w:sz w:val="18"/>
          <w:szCs w:val="18"/>
        </w:rPr>
        <w:t>P.C.:130117</w:t>
      </w:r>
    </w:p>
    <w:p w14:paraId="3E3911F4">
      <w:pPr>
        <w:rPr>
          <w:sz w:val="2"/>
        </w:rPr>
      </w:pPr>
      <w:r>
        <w:rPr>
          <w:sz w:val="2"/>
          <w:szCs w:val="2"/>
        </w:rPr>
        <w:br w:type="column"/>
      </w:r>
    </w:p>
    <w:p w14:paraId="1C663086">
      <w:pPr>
        <w:rPr>
          <w:rFonts w:ascii="Tahoma" w:hAnsi="Tahoma" w:eastAsia="Tahoma" w:cs="Tahoma"/>
          <w:sz w:val="18"/>
          <w:szCs w:val="18"/>
        </w:rPr>
      </w:pPr>
      <w:r>
        <w:rPr>
          <w:rFonts w:ascii="微软雅黑" w:hAnsi="微软雅黑" w:eastAsia="微软雅黑" w:cs="微软雅黑"/>
          <w:color w:val="7D3B05"/>
          <w:spacing w:val="4"/>
          <w:sz w:val="18"/>
          <w:szCs w:val="18"/>
        </w:rPr>
        <w:t>网址：</w:t>
      </w:r>
      <w:r>
        <w:rPr>
          <w:rFonts w:ascii="微软雅黑" w:hAnsi="微软雅黑" w:eastAsia="微软雅黑" w:cs="微软雅黑"/>
          <w:color w:val="7D3B05"/>
          <w:spacing w:val="-22"/>
          <w:sz w:val="18"/>
          <w:szCs w:val="18"/>
        </w:rPr>
        <w:t xml:space="preserve"> </w:t>
      </w:r>
      <w:r>
        <w:rPr>
          <w:rFonts w:ascii="Tahoma" w:hAnsi="Tahoma" w:eastAsia="Tahoma" w:cs="Tahoma"/>
          <w:color w:val="7D3B05"/>
          <w:sz w:val="18"/>
          <w:szCs w:val="18"/>
        </w:rPr>
        <w:t>http</w:t>
      </w:r>
      <w:r>
        <w:rPr>
          <w:rFonts w:ascii="Tahoma" w:hAnsi="Tahoma" w:eastAsia="Tahoma" w:cs="Tahoma"/>
          <w:color w:val="7D3B05"/>
          <w:spacing w:val="4"/>
          <w:sz w:val="18"/>
          <w:szCs w:val="18"/>
        </w:rPr>
        <w:t>://</w:t>
      </w:r>
      <w:r>
        <w:rPr>
          <w:rFonts w:ascii="Tahoma" w:hAnsi="Tahoma" w:eastAsia="Tahoma" w:cs="Tahoma"/>
          <w:color w:val="7D3B05"/>
          <w:sz w:val="18"/>
          <w:szCs w:val="18"/>
        </w:rPr>
        <w:t>www</w:t>
      </w:r>
      <w:r>
        <w:rPr>
          <w:rFonts w:ascii="Tahoma" w:hAnsi="Tahoma" w:eastAsia="Tahoma" w:cs="Tahoma"/>
          <w:color w:val="7D3B05"/>
          <w:spacing w:val="-32"/>
          <w:sz w:val="18"/>
          <w:szCs w:val="18"/>
        </w:rPr>
        <w:t xml:space="preserve"> </w:t>
      </w:r>
      <w:r>
        <w:rPr>
          <w:rFonts w:ascii="Tahoma" w:hAnsi="Tahoma" w:eastAsia="Tahoma" w:cs="Tahoma"/>
          <w:color w:val="7D3B05"/>
          <w:spacing w:val="4"/>
          <w:sz w:val="18"/>
          <w:szCs w:val="18"/>
        </w:rPr>
        <w:t>.</w:t>
      </w:r>
      <w:r>
        <w:rPr>
          <w:rFonts w:ascii="Tahoma" w:hAnsi="Tahoma" w:eastAsia="Tahoma" w:cs="Tahoma"/>
          <w:color w:val="7D3B05"/>
          <w:sz w:val="18"/>
          <w:szCs w:val="18"/>
        </w:rPr>
        <w:t>j</w:t>
      </w:r>
      <w:r>
        <w:rPr>
          <w:rFonts w:ascii="Tahoma" w:hAnsi="Tahoma" w:eastAsia="Tahoma" w:cs="Tahoma"/>
          <w:color w:val="7D3B05"/>
          <w:spacing w:val="-39"/>
          <w:sz w:val="18"/>
          <w:szCs w:val="18"/>
        </w:rPr>
        <w:t xml:space="preserve"> </w:t>
      </w:r>
      <w:r>
        <w:rPr>
          <w:rFonts w:ascii="Tahoma" w:hAnsi="Tahoma" w:eastAsia="Tahoma" w:cs="Tahoma"/>
          <w:color w:val="7D3B05"/>
          <w:sz w:val="18"/>
          <w:szCs w:val="18"/>
        </w:rPr>
        <w:t>lufe</w:t>
      </w:r>
      <w:r>
        <w:rPr>
          <w:rFonts w:ascii="Tahoma" w:hAnsi="Tahoma" w:eastAsia="Tahoma" w:cs="Tahoma"/>
          <w:color w:val="7D3B05"/>
          <w:spacing w:val="-33"/>
          <w:sz w:val="18"/>
          <w:szCs w:val="18"/>
        </w:rPr>
        <w:t xml:space="preserve"> </w:t>
      </w:r>
      <w:r>
        <w:rPr>
          <w:rFonts w:ascii="Tahoma" w:hAnsi="Tahoma" w:eastAsia="Tahoma" w:cs="Tahoma"/>
          <w:color w:val="7D3B05"/>
          <w:spacing w:val="4"/>
          <w:sz w:val="18"/>
          <w:szCs w:val="18"/>
        </w:rPr>
        <w:t>.</w:t>
      </w:r>
      <w:r>
        <w:rPr>
          <w:rFonts w:ascii="Tahoma" w:hAnsi="Tahoma" w:eastAsia="Tahoma" w:cs="Tahoma"/>
          <w:color w:val="7D3B05"/>
          <w:sz w:val="18"/>
          <w:szCs w:val="18"/>
        </w:rPr>
        <w:t>edu</w:t>
      </w:r>
      <w:r>
        <w:rPr>
          <w:rFonts w:ascii="Tahoma" w:hAnsi="Tahoma" w:eastAsia="Tahoma" w:cs="Tahoma"/>
          <w:color w:val="7D3B05"/>
          <w:spacing w:val="4"/>
          <w:sz w:val="18"/>
          <w:szCs w:val="18"/>
        </w:rPr>
        <w:t>.</w:t>
      </w:r>
      <w:r>
        <w:rPr>
          <w:rFonts w:ascii="Tahoma" w:hAnsi="Tahoma" w:eastAsia="Tahoma" w:cs="Tahoma"/>
          <w:color w:val="7D3B05"/>
          <w:sz w:val="18"/>
          <w:szCs w:val="18"/>
        </w:rPr>
        <w:t>cn</w:t>
      </w:r>
    </w:p>
    <w:p w14:paraId="57FA30FA">
      <w:pPr>
        <w:ind w:left="33"/>
        <w:rPr>
          <w:rFonts w:ascii="Tahoma" w:hAnsi="Tahoma" w:eastAsia="Tahoma" w:cs="Tahoma"/>
          <w:sz w:val="18"/>
          <w:szCs w:val="18"/>
        </w:rPr>
      </w:pPr>
      <w:r>
        <w:rPr>
          <w:rFonts w:ascii="Tahoma" w:hAnsi="Tahoma" w:eastAsia="Tahoma" w:cs="Tahoma"/>
          <w:color w:val="7D3B05"/>
          <w:spacing w:val="-1"/>
          <w:position w:val="3"/>
          <w:sz w:val="18"/>
          <w:szCs w:val="18"/>
        </w:rPr>
        <w:t>Website:</w:t>
      </w:r>
      <w:r>
        <w:rPr>
          <w:rFonts w:ascii="Tahoma" w:hAnsi="Tahoma" w:eastAsia="Tahoma" w:cs="Tahoma"/>
          <w:color w:val="7D3B05"/>
          <w:spacing w:val="27"/>
          <w:w w:val="101"/>
          <w:position w:val="3"/>
          <w:sz w:val="18"/>
          <w:szCs w:val="18"/>
        </w:rPr>
        <w:t xml:space="preserve"> </w:t>
      </w:r>
      <w:r>
        <w:fldChar w:fldCharType="begin"/>
      </w:r>
      <w:r>
        <w:instrText xml:space="preserve"> HYPERLINK "http://www.jlufe.edu.cn" </w:instrText>
      </w:r>
      <w:r>
        <w:fldChar w:fldCharType="separate"/>
      </w:r>
      <w:r>
        <w:rPr>
          <w:rFonts w:ascii="Tahoma" w:hAnsi="Tahoma" w:eastAsia="Tahoma" w:cs="Tahoma"/>
          <w:color w:val="7D3B05"/>
          <w:spacing w:val="-1"/>
          <w:position w:val="3"/>
          <w:sz w:val="18"/>
          <w:szCs w:val="18"/>
        </w:rPr>
        <w:t>http://www.jlufe.edu.cn</w:t>
      </w:r>
      <w:r>
        <w:rPr>
          <w:rFonts w:ascii="Tahoma" w:hAnsi="Tahoma" w:eastAsia="Tahoma" w:cs="Tahoma"/>
          <w:color w:val="7D3B05"/>
          <w:spacing w:val="-1"/>
          <w:position w:val="3"/>
          <w:sz w:val="18"/>
          <w:szCs w:val="18"/>
        </w:rPr>
        <w:fldChar w:fldCharType="end"/>
      </w:r>
    </w:p>
    <w:p w14:paraId="3DF3F28C">
      <w:pPr>
        <w:spacing w:line="360" w:lineRule="auto"/>
        <w:rPr>
          <w:rFonts w:ascii="Tahoma" w:hAnsi="Tahoma" w:eastAsia="Tahoma" w:cs="Tahoma"/>
          <w:sz w:val="18"/>
          <w:szCs w:val="18"/>
        </w:rPr>
        <w:sectPr>
          <w:type w:val="continuous"/>
          <w:pgSz w:w="11906" w:h="16839"/>
          <w:pgMar w:top="1295" w:right="1456" w:bottom="0" w:left="1454" w:header="643" w:footer="0" w:gutter="0"/>
          <w:cols w:equalWidth="0" w:num="3">
            <w:col w:w="3667" w:space="100"/>
            <w:col w:w="1782" w:space="100"/>
            <w:col w:w="3347"/>
          </w:cols>
        </w:sectPr>
      </w:pPr>
    </w:p>
    <w:p w14:paraId="6C606B2E">
      <w:pPr>
        <w:spacing w:line="360" w:lineRule="auto"/>
        <w:ind w:firstLine="2"/>
      </w:pPr>
      <w:r>
        <w:pict>
          <v:shape id="_x0000_s2057" o:spid="_x0000_s2057" style="height:1.45pt;width:449.65pt;" fillcolor="#7D3B05" filled="t" stroked="f" coordsize="8992,29" path="m0,0l8992,0,8992,28,0,28,0,0xe">
            <v:path/>
            <v:fill on="t" focussize="0,0"/>
            <v:stroke on="f"/>
            <v:imagedata o:title=""/>
            <o:lock v:ext="edit"/>
            <w10:wrap type="none"/>
            <w10:anchorlock/>
          </v:shape>
        </w:pict>
      </w:r>
    </w:p>
    <w:p w14:paraId="535CF287">
      <w:pPr>
        <w:pStyle w:val="2"/>
        <w:spacing w:line="360" w:lineRule="auto"/>
        <w:ind w:left="492"/>
        <w:rPr>
          <w:lang w:eastAsia="zh-CN"/>
        </w:rPr>
      </w:pPr>
      <w:r>
        <w:rPr>
          <w:lang w:eastAsia="zh-CN"/>
        </w:rPr>
        <w:t>6</w:t>
      </w:r>
      <w:r>
        <w:rPr>
          <w:rFonts w:hint="eastAsia"/>
          <w:lang w:eastAsia="zh-CN"/>
        </w:rPr>
        <w:t>.</w:t>
      </w:r>
      <w:r>
        <w:rPr>
          <w:lang w:eastAsia="zh-CN"/>
        </w:rPr>
        <w:t xml:space="preserve"> 品行表现优良，无任何违法违纪受处分记录。</w:t>
      </w:r>
    </w:p>
    <w:p w14:paraId="0F627691">
      <w:pPr>
        <w:pStyle w:val="2"/>
        <w:spacing w:line="360" w:lineRule="auto"/>
        <w:ind w:left="497"/>
        <w:jc w:val="both"/>
        <w:rPr>
          <w:b/>
          <w:bCs/>
          <w:lang w:eastAsia="zh-CN"/>
        </w:rPr>
      </w:pPr>
      <w:r>
        <w:rPr>
          <w:rFonts w:asciiTheme="minorEastAsia" w:hAnsiTheme="minorEastAsia" w:eastAsiaTheme="minorEastAsia"/>
          <w:spacing w:val="-1"/>
          <w:lang w:eastAsia="zh-CN"/>
          <w14:textOutline w14:w="4356" w14:cap="sq" w14:cmpd="sng" w14:algn="ctr">
            <w14:solidFill>
              <w14:srgbClr w14:val="000000"/>
            </w14:solidFill>
            <w14:prstDash w14:val="solid"/>
            <w14:bevel/>
          </w14:textOutline>
        </w:rPr>
        <w:t>四、理论必修课程加权平均成绩</w:t>
      </w:r>
    </w:p>
    <w:p w14:paraId="61C3147D">
      <w:pPr>
        <w:pStyle w:val="2"/>
        <w:spacing w:line="360" w:lineRule="auto"/>
        <w:ind w:left="13" w:right="112" w:firstLine="413"/>
        <w:jc w:val="both"/>
        <w:rPr>
          <w:lang w:eastAsia="zh-CN"/>
        </w:rPr>
      </w:pPr>
      <w:r>
        <w:rPr>
          <w:lang w:eastAsia="zh-CN"/>
        </w:rPr>
        <w:t>在满足第三条所述基本条件的前提下，学院对申请者按照截止至第三学年结束学生应修完培养方案中全部理论必修课程加权平均成绩依次排序，择优推荐（排序是按照全年级排序，不分专业）。</w:t>
      </w:r>
    </w:p>
    <w:p w14:paraId="1B56810F">
      <w:pPr>
        <w:pStyle w:val="2"/>
        <w:spacing w:line="360" w:lineRule="auto"/>
        <w:ind w:left="-2" w:leftChars="-1" w:firstLine="423" w:firstLineChars="178"/>
        <w:rPr>
          <w:lang w:eastAsia="zh-CN"/>
        </w:rPr>
      </w:pPr>
      <w:r>
        <w:rPr>
          <w:spacing w:val="-1"/>
          <w:lang w:eastAsia="zh-CN"/>
        </w:rPr>
        <w:t>理论必修课程加权平均成绩</w:t>
      </w:r>
      <w:r>
        <w:rPr>
          <w:rFonts w:ascii="Times New Roman" w:hAnsi="Times New Roman" w:eastAsia="Times New Roman" w:cs="Times New Roman"/>
          <w:spacing w:val="-1"/>
          <w:lang w:eastAsia="zh-CN"/>
        </w:rPr>
        <w:t>=</w:t>
      </w:r>
      <w:r>
        <w:rPr>
          <w:position w:val="-20"/>
        </w:rPr>
        <w:drawing>
          <wp:inline distT="0" distB="0" distL="0" distR="0">
            <wp:extent cx="1771650" cy="36703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1771954" cy="367065"/>
                    </a:xfrm>
                    <a:prstGeom prst="rect">
                      <a:avLst/>
                    </a:prstGeom>
                  </pic:spPr>
                </pic:pic>
              </a:graphicData>
            </a:graphic>
          </wp:inline>
        </w:drawing>
      </w:r>
    </w:p>
    <w:p w14:paraId="5430BE58">
      <w:pPr>
        <w:pStyle w:val="2"/>
        <w:spacing w:line="360" w:lineRule="auto"/>
        <w:ind w:firstLine="424" w:firstLineChars="177"/>
        <w:rPr>
          <w:lang w:eastAsia="zh-CN"/>
        </w:rPr>
      </w:pPr>
      <w:r>
        <w:rPr>
          <w:lang w:eastAsia="zh-CN"/>
        </w:rPr>
        <w:t>理论必修课程加权平均成绩依据考试成绩计算。如果理论必修课程成绩按五级制计分，需要按如下标准折合成百分制：优秀折合90分，良好折合80分，中等折合70分，及格折合60分；军事训练、体育课不计入成绩排名，但必须在计算成绩时通过课程考核。</w:t>
      </w:r>
    </w:p>
    <w:p w14:paraId="2C8DF100">
      <w:pPr>
        <w:pStyle w:val="2"/>
        <w:spacing w:line="360" w:lineRule="auto"/>
        <w:ind w:left="11" w:right="113" w:firstLine="386"/>
        <w:jc w:val="both"/>
        <w:rPr>
          <w:spacing w:val="-2"/>
          <w:lang w:eastAsia="zh-CN"/>
        </w:rPr>
      </w:pPr>
      <w:r>
        <w:rPr>
          <w:spacing w:val="-3"/>
          <w:lang w:eastAsia="zh-CN"/>
        </w:rPr>
        <w:t>澳方课程</w:t>
      </w:r>
      <w:r>
        <w:rPr>
          <w:lang w:eastAsia="zh-CN"/>
        </w:rPr>
        <w:t>成绩按标准分计入成绩排名</w:t>
      </w:r>
      <w:r>
        <w:rPr>
          <w:rFonts w:hint="eastAsia"/>
          <w:lang w:eastAsia="zh-CN"/>
        </w:rPr>
        <w:t>。</w:t>
      </w:r>
      <w:r>
        <w:rPr>
          <w:spacing w:val="-2"/>
          <w:lang w:eastAsia="zh-CN"/>
        </w:rPr>
        <w:t>具体操作方案如下：</w:t>
      </w:r>
    </w:p>
    <w:p w14:paraId="0204720D">
      <w:pPr>
        <w:pStyle w:val="2"/>
        <w:spacing w:line="360" w:lineRule="auto"/>
        <w:ind w:left="11" w:right="113" w:firstLine="410" w:firstLineChars="174"/>
        <w:jc w:val="both"/>
        <w:rPr>
          <w:spacing w:val="-2"/>
          <w:lang w:eastAsia="zh-CN"/>
        </w:rPr>
      </w:pPr>
      <w:r>
        <w:rPr>
          <w:spacing w:val="-2"/>
          <w:lang w:eastAsia="zh-CN"/>
        </w:rPr>
        <w:t>标准分=40×(原始分-50)÷(最高分-50)+60</w:t>
      </w:r>
    </w:p>
    <w:p w14:paraId="07F95F4D">
      <w:pPr>
        <w:pStyle w:val="2"/>
        <w:spacing w:line="360" w:lineRule="auto"/>
        <w:ind w:left="2" w:firstLine="420" w:firstLineChars="178"/>
        <w:jc w:val="both"/>
        <w:outlineLvl w:val="0"/>
        <w:rPr>
          <w:lang w:eastAsia="zh-CN"/>
        </w:rPr>
      </w:pPr>
      <w:r>
        <w:rPr>
          <w:spacing w:val="-2"/>
          <w:lang w:eastAsia="zh-CN"/>
          <w14:textOutline w14:w="4356" w14:cap="sq" w14:cmpd="sng" w14:algn="ctr">
            <w14:solidFill>
              <w14:srgbClr w14:val="000000"/>
            </w14:solidFill>
            <w14:prstDash w14:val="solid"/>
            <w14:bevel/>
          </w14:textOutline>
        </w:rPr>
        <w:t>五、附加分</w:t>
      </w:r>
    </w:p>
    <w:p w14:paraId="6C2BB49C">
      <w:pPr>
        <w:pStyle w:val="2"/>
        <w:spacing w:line="360" w:lineRule="auto"/>
        <w:ind w:firstLine="423" w:firstLineChars="178"/>
        <w:jc w:val="both"/>
        <w:rPr>
          <w:spacing w:val="-1"/>
          <w:lang w:eastAsia="zh-CN"/>
        </w:rPr>
      </w:pPr>
      <w:r>
        <w:rPr>
          <w:spacing w:val="-1"/>
          <w:lang w:eastAsia="zh-CN"/>
        </w:rPr>
        <w:t>具备下列条件之一者可获得附加分。原则上，附加分累计不得超过3分（论文</w:t>
      </w:r>
      <w:r>
        <w:rPr>
          <w:rFonts w:hint="eastAsia"/>
          <w:spacing w:val="-1"/>
          <w:lang w:val="en-US" w:eastAsia="zh-CN"/>
        </w:rPr>
        <w:t>发</w:t>
      </w:r>
      <w:r>
        <w:rPr>
          <w:spacing w:val="-1"/>
          <w:lang w:eastAsia="zh-CN"/>
        </w:rPr>
        <w:t>表</w:t>
      </w:r>
      <w:r>
        <w:rPr>
          <w:rFonts w:hint="eastAsia"/>
          <w:spacing w:val="-1"/>
          <w:lang w:val="en-US" w:eastAsia="zh-CN"/>
        </w:rPr>
        <w:t>日期</w:t>
      </w:r>
      <w:r>
        <w:rPr>
          <w:spacing w:val="-1"/>
          <w:lang w:eastAsia="zh-CN"/>
        </w:rPr>
        <w:t>以每年8月31日为限）：</w:t>
      </w:r>
    </w:p>
    <w:p w14:paraId="248080F2">
      <w:pPr>
        <w:pStyle w:val="2"/>
        <w:spacing w:line="360" w:lineRule="auto"/>
        <w:ind w:firstLine="424" w:firstLineChars="177"/>
        <w:jc w:val="both"/>
        <w:rPr>
          <w:lang w:eastAsia="zh-CN"/>
        </w:rPr>
      </w:pPr>
      <w:r>
        <w:rPr>
          <w:lang w:eastAsia="zh-CN"/>
        </w:rPr>
        <w:t>1</w:t>
      </w:r>
      <w:r>
        <w:rPr>
          <w:rFonts w:hint="eastAsia"/>
          <w:lang w:eastAsia="zh-CN"/>
        </w:rPr>
        <w:t>.</w:t>
      </w:r>
      <w:r>
        <w:rPr>
          <w:lang w:eastAsia="zh-CN"/>
        </w:rPr>
        <w:t xml:space="preserve"> 参加入伍服兵役加0.75分。</w:t>
      </w:r>
    </w:p>
    <w:p w14:paraId="5270EA91">
      <w:pPr>
        <w:pStyle w:val="2"/>
        <w:spacing w:line="360" w:lineRule="auto"/>
        <w:ind w:firstLine="424" w:firstLineChars="177"/>
        <w:jc w:val="both"/>
        <w:rPr>
          <w:lang w:eastAsia="zh-CN"/>
        </w:rPr>
      </w:pPr>
      <w:r>
        <w:rPr>
          <w:lang w:eastAsia="zh-CN"/>
        </w:rPr>
        <w:t>2</w:t>
      </w:r>
      <w:r>
        <w:rPr>
          <w:rFonts w:hint="eastAsia"/>
          <w:lang w:eastAsia="zh-CN"/>
        </w:rPr>
        <w:t>.</w:t>
      </w:r>
      <w:r>
        <w:rPr>
          <w:lang w:eastAsia="zh-CN"/>
        </w:rPr>
        <w:t xml:space="preserve"> 在国家部委、全国专业教学指导委员会、全国一级学（协）会主办的各类大学生学术竞赛中获奖。</w:t>
      </w:r>
    </w:p>
    <w:p w14:paraId="77B62421">
      <w:pPr>
        <w:pStyle w:val="2"/>
        <w:spacing w:line="360" w:lineRule="auto"/>
        <w:ind w:firstLine="424" w:firstLineChars="177"/>
        <w:jc w:val="both"/>
        <w:rPr>
          <w:lang w:eastAsia="zh-CN"/>
        </w:rPr>
      </w:pPr>
      <w:r>
        <w:rPr>
          <w:lang w:eastAsia="zh-CN"/>
        </w:rPr>
        <w:t>获得国家级一等奖加分0.75分；国家级二等奖加分0.56分；国家级三等奖分0.30分；省级一等奖加分0</w:t>
      </w:r>
      <w:r>
        <w:rPr>
          <w:rFonts w:hint="eastAsia"/>
          <w:lang w:eastAsia="zh-CN"/>
        </w:rPr>
        <w:t>.</w:t>
      </w:r>
      <w:r>
        <w:rPr>
          <w:lang w:eastAsia="zh-CN"/>
        </w:rPr>
        <w:t>19分；省级二等奖加分0.11分；省级三等奖加分</w:t>
      </w:r>
      <w:r>
        <w:rPr>
          <w:rFonts w:hint="eastAsia"/>
          <w:lang w:eastAsia="zh-CN"/>
        </w:rPr>
        <w:t>0</w:t>
      </w:r>
      <w:r>
        <w:rPr>
          <w:lang w:eastAsia="zh-CN"/>
        </w:rPr>
        <w:t>.04分。本项目最高累计加分不超过0.75分。</w:t>
      </w:r>
    </w:p>
    <w:p w14:paraId="5BE01F36">
      <w:pPr>
        <w:pStyle w:val="2"/>
        <w:spacing w:line="360" w:lineRule="auto"/>
        <w:ind w:left="14" w:right="208" w:firstLine="424" w:firstLineChars="177"/>
        <w:jc w:val="both"/>
        <w:rPr>
          <w:lang w:eastAsia="zh-CN"/>
        </w:rPr>
      </w:pPr>
      <w:r>
        <w:rPr>
          <w:lang w:eastAsia="zh-CN"/>
        </w:rPr>
        <w:t>3</w:t>
      </w:r>
      <w:r>
        <w:rPr>
          <w:rFonts w:hint="eastAsia"/>
          <w:lang w:eastAsia="zh-CN"/>
        </w:rPr>
        <w:t>.</w:t>
      </w:r>
      <w:r>
        <w:rPr>
          <w:lang w:eastAsia="zh-CN"/>
        </w:rPr>
        <w:t xml:space="preserve"> 在吉林省教育厅、吉林省科学技术厅组织的竞赛中获奖。获得省级一等奖加分0.19分；省级二等奖加分0.11分；省级三等奖加分0.04分。本项目最高累计加分不超过0.75分。</w:t>
      </w:r>
    </w:p>
    <w:p w14:paraId="046FA09D">
      <w:pPr>
        <w:pStyle w:val="2"/>
        <w:spacing w:line="360" w:lineRule="auto"/>
        <w:ind w:left="14" w:right="208" w:firstLine="421" w:firstLineChars="177"/>
        <w:jc w:val="both"/>
        <w:rPr>
          <w:lang w:eastAsia="zh-CN"/>
        </w:rPr>
      </w:pPr>
      <w:r>
        <w:rPr>
          <w:spacing w:val="-1"/>
          <w:lang w:eastAsia="zh-CN"/>
        </w:rPr>
        <w:t>上述</w:t>
      </w:r>
      <w:r>
        <w:rPr>
          <w:rFonts w:ascii="Times New Roman" w:hAnsi="Times New Roman" w:eastAsia="Times New Roman" w:cs="Times New Roman"/>
          <w:spacing w:val="-1"/>
          <w:lang w:eastAsia="zh-CN"/>
        </w:rPr>
        <w:t>2</w:t>
      </w:r>
      <w:r>
        <w:rPr>
          <w:spacing w:val="-1"/>
          <w:lang w:eastAsia="zh-CN"/>
        </w:rPr>
        <w:t>和</w:t>
      </w:r>
      <w:r>
        <w:rPr>
          <w:rFonts w:ascii="Times New Roman" w:hAnsi="Times New Roman" w:eastAsia="Times New Roman" w:cs="Times New Roman"/>
          <w:spacing w:val="-1"/>
          <w:lang w:eastAsia="zh-CN"/>
        </w:rPr>
        <w:t>3</w:t>
      </w:r>
      <w:r>
        <w:rPr>
          <w:spacing w:val="-1"/>
          <w:lang w:eastAsia="zh-CN"/>
        </w:rPr>
        <w:t>项所列竞赛名单及认定等级以教务</w:t>
      </w:r>
      <w:r>
        <w:rPr>
          <w:spacing w:val="-2"/>
          <w:lang w:eastAsia="zh-CN"/>
        </w:rPr>
        <w:t>处发布的《吉林财经大学本科生学</w:t>
      </w:r>
      <w:r>
        <w:rPr>
          <w:lang w:eastAsia="zh-CN"/>
        </w:rPr>
        <w:t xml:space="preserve"> 科竞赛奖励项目名单》为准，未列入名单的，不予认定。学</w:t>
      </w:r>
      <w:r>
        <w:rPr>
          <w:spacing w:val="-1"/>
          <w:lang w:eastAsia="zh-CN"/>
        </w:rPr>
        <w:t>生在同一竞赛中有多项加分情况时，原则上只取其中的一项。</w:t>
      </w:r>
    </w:p>
    <w:p w14:paraId="10F303D4">
      <w:pPr>
        <w:pStyle w:val="2"/>
        <w:spacing w:line="360" w:lineRule="auto"/>
        <w:ind w:left="486"/>
        <w:rPr>
          <w:lang w:eastAsia="zh-CN"/>
        </w:rPr>
      </w:pPr>
      <w:r>
        <w:rPr>
          <w:lang w:eastAsia="zh-CN"/>
        </w:rPr>
        <w:t>4</w:t>
      </w:r>
      <w:r>
        <w:rPr>
          <w:rFonts w:hint="eastAsia"/>
          <w:lang w:eastAsia="zh-CN"/>
        </w:rPr>
        <w:t>.</w:t>
      </w:r>
      <w:r>
        <w:rPr>
          <w:lang w:eastAsia="zh-CN"/>
        </w:rPr>
        <w:t xml:space="preserve"> </w:t>
      </w:r>
      <w:r>
        <w:rPr>
          <w:spacing w:val="-1"/>
          <w:lang w:eastAsia="zh-CN"/>
        </w:rPr>
        <w:t>在我校科研处认定的核心期刊上以第一作者名义公开发表</w:t>
      </w:r>
      <w:r>
        <w:rPr>
          <w:spacing w:val="-2"/>
          <w:lang w:eastAsia="zh-CN"/>
        </w:rPr>
        <w:t>学术论文。</w:t>
      </w:r>
    </w:p>
    <w:p w14:paraId="084400A4">
      <w:pPr>
        <w:pStyle w:val="2"/>
        <w:spacing w:line="360" w:lineRule="auto"/>
        <w:ind w:left="11" w:right="112" w:firstLine="481"/>
        <w:rPr>
          <w:rFonts w:hint="eastAsia"/>
          <w:lang w:eastAsia="zh-CN"/>
        </w:rPr>
      </w:pPr>
      <w:r>
        <w:rPr>
          <w:spacing w:val="-1"/>
          <w:lang w:eastAsia="zh-CN"/>
        </w:rPr>
        <w:t>核心期刊以上（不含核心期刊）发表论文加分0.30分/篇；核心期刊发表论文加</w:t>
      </w:r>
    </w:p>
    <w:p w14:paraId="1371B3CD">
      <w:pPr>
        <w:ind w:firstLine="2"/>
      </w:pPr>
      <w:r>
        <w:pict>
          <v:shape id="_x0000_s2056" o:spid="_x0000_s2056" style="height:1.45pt;width:449.65pt;" fillcolor="#7D3B05" filled="t" stroked="f" coordsize="8992,29" path="m0,0l8992,0,8992,28,0,28,0,0xe">
            <v:path/>
            <v:fill on="t" focussize="0,0"/>
            <v:stroke on="f"/>
            <v:imagedata o:title=""/>
            <o:lock v:ext="edit"/>
            <w10:wrap type="none"/>
            <w10:anchorlock/>
          </v:shape>
        </w:pict>
      </w:r>
    </w:p>
    <w:p w14:paraId="0165AEE1">
      <w:pPr>
        <w:rPr>
          <w:sz w:val="2"/>
        </w:rPr>
      </w:pPr>
    </w:p>
    <w:p w14:paraId="5112532C">
      <w:pPr>
        <w:rPr>
          <w:sz w:val="2"/>
          <w:szCs w:val="2"/>
        </w:rPr>
        <w:sectPr>
          <w:pgSz w:w="11906" w:h="16839"/>
          <w:pgMar w:top="1295" w:right="1456" w:bottom="0" w:left="1454" w:header="643" w:footer="0" w:gutter="0"/>
          <w:cols w:equalWidth="0" w:num="1">
            <w:col w:w="8995"/>
          </w:cols>
        </w:sectPr>
      </w:pPr>
    </w:p>
    <w:p w14:paraId="1063D1A1">
      <w:pPr>
        <w:ind w:left="3"/>
        <w:rPr>
          <w:rFonts w:ascii="微软雅黑" w:hAnsi="微软雅黑" w:eastAsia="微软雅黑" w:cs="微软雅黑"/>
          <w:sz w:val="18"/>
          <w:szCs w:val="18"/>
          <w:lang w:eastAsia="zh-CN"/>
        </w:rPr>
      </w:pPr>
      <w:r>
        <w:rPr>
          <w:rFonts w:ascii="微软雅黑" w:hAnsi="微软雅黑" w:eastAsia="微软雅黑" w:cs="微软雅黑"/>
          <w:color w:val="7D3B05"/>
          <w:spacing w:val="-1"/>
          <w:sz w:val="18"/>
          <w:szCs w:val="18"/>
          <w:lang w:eastAsia="zh-CN"/>
        </w:rPr>
        <w:t>地址：中国•长春  吉林财经大学</w:t>
      </w:r>
    </w:p>
    <w:p w14:paraId="5508B585">
      <w:pPr>
        <w:ind w:left="1"/>
        <w:rPr>
          <w:rFonts w:ascii="Tahoma" w:hAnsi="Tahoma" w:eastAsia="Tahoma" w:cs="Tahoma"/>
          <w:sz w:val="18"/>
          <w:szCs w:val="18"/>
        </w:rPr>
      </w:pPr>
      <w:r>
        <w:rPr>
          <w:rFonts w:ascii="Tahoma" w:hAnsi="Tahoma" w:eastAsia="Tahoma" w:cs="Tahoma"/>
          <w:color w:val="7D3B05"/>
          <w:sz w:val="18"/>
          <w:szCs w:val="18"/>
        </w:rPr>
        <w:t>Add: JLUFE, Changchun, Chi</w:t>
      </w:r>
      <w:r>
        <w:rPr>
          <w:rFonts w:ascii="Tahoma" w:hAnsi="Tahoma" w:eastAsia="Tahoma" w:cs="Tahoma"/>
          <w:color w:val="7D3B05"/>
          <w:spacing w:val="-1"/>
          <w:sz w:val="18"/>
          <w:szCs w:val="18"/>
        </w:rPr>
        <w:t>na</w:t>
      </w:r>
    </w:p>
    <w:p w14:paraId="770B0FCD">
      <w:pPr>
        <w:rPr>
          <w:sz w:val="2"/>
        </w:rPr>
      </w:pPr>
      <w:r>
        <w:rPr>
          <w:sz w:val="2"/>
          <w:szCs w:val="2"/>
        </w:rPr>
        <w:br w:type="column"/>
      </w:r>
    </w:p>
    <w:p w14:paraId="3CF2994B">
      <w:pPr>
        <w:rPr>
          <w:rFonts w:ascii="Tahoma" w:hAnsi="Tahoma" w:eastAsia="Tahoma" w:cs="Tahoma"/>
          <w:sz w:val="18"/>
          <w:szCs w:val="18"/>
        </w:rPr>
      </w:pPr>
      <w:r>
        <w:rPr>
          <w:rFonts w:ascii="微软雅黑" w:hAnsi="微软雅黑" w:eastAsia="微软雅黑" w:cs="微软雅黑"/>
          <w:color w:val="7D3B05"/>
          <w:spacing w:val="-6"/>
          <w:sz w:val="18"/>
          <w:szCs w:val="18"/>
        </w:rPr>
        <w:t>邮编</w:t>
      </w:r>
      <w:r>
        <w:rPr>
          <w:rFonts w:ascii="微软雅黑" w:hAnsi="微软雅黑" w:eastAsia="微软雅黑" w:cs="微软雅黑"/>
          <w:color w:val="7D3B05"/>
          <w:spacing w:val="-13"/>
          <w:sz w:val="18"/>
          <w:szCs w:val="18"/>
        </w:rPr>
        <w:t xml:space="preserve"> </w:t>
      </w:r>
      <w:r>
        <w:rPr>
          <w:rFonts w:ascii="微软雅黑" w:hAnsi="微软雅黑" w:eastAsia="微软雅黑" w:cs="微软雅黑"/>
          <w:color w:val="7D3B05"/>
          <w:spacing w:val="-6"/>
          <w:sz w:val="18"/>
          <w:szCs w:val="18"/>
        </w:rPr>
        <w:t>：</w:t>
      </w:r>
      <w:r>
        <w:rPr>
          <w:rFonts w:ascii="Tahoma" w:hAnsi="Tahoma" w:eastAsia="Tahoma" w:cs="Tahoma"/>
          <w:color w:val="7D3B05"/>
          <w:spacing w:val="-6"/>
          <w:sz w:val="18"/>
          <w:szCs w:val="18"/>
        </w:rPr>
        <w:t>130117</w:t>
      </w:r>
    </w:p>
    <w:p w14:paraId="129169B0">
      <w:pPr>
        <w:ind w:left="55"/>
        <w:rPr>
          <w:rFonts w:ascii="Tahoma" w:hAnsi="Tahoma" w:eastAsia="Tahoma" w:cs="Tahoma"/>
          <w:sz w:val="18"/>
          <w:szCs w:val="18"/>
        </w:rPr>
      </w:pPr>
      <w:r>
        <w:rPr>
          <w:rFonts w:ascii="Tahoma" w:hAnsi="Tahoma" w:eastAsia="Tahoma" w:cs="Tahoma"/>
          <w:color w:val="7D3B05"/>
          <w:spacing w:val="-2"/>
          <w:sz w:val="18"/>
          <w:szCs w:val="18"/>
        </w:rPr>
        <w:t>P.C.:130117</w:t>
      </w:r>
    </w:p>
    <w:p w14:paraId="2DB6A420">
      <w:pPr>
        <w:rPr>
          <w:sz w:val="2"/>
        </w:rPr>
      </w:pPr>
      <w:r>
        <w:rPr>
          <w:sz w:val="2"/>
          <w:szCs w:val="2"/>
        </w:rPr>
        <w:br w:type="column"/>
      </w:r>
    </w:p>
    <w:p w14:paraId="16BE2713">
      <w:pPr>
        <w:rPr>
          <w:rFonts w:ascii="Tahoma" w:hAnsi="Tahoma" w:eastAsia="Tahoma" w:cs="Tahoma"/>
          <w:sz w:val="18"/>
          <w:szCs w:val="18"/>
        </w:rPr>
      </w:pPr>
      <w:r>
        <w:rPr>
          <w:rFonts w:ascii="微软雅黑" w:hAnsi="微软雅黑" w:eastAsia="微软雅黑" w:cs="微软雅黑"/>
          <w:color w:val="7D3B05"/>
          <w:spacing w:val="4"/>
          <w:sz w:val="18"/>
          <w:szCs w:val="18"/>
        </w:rPr>
        <w:t>网址：</w:t>
      </w:r>
      <w:r>
        <w:rPr>
          <w:rFonts w:ascii="微软雅黑" w:hAnsi="微软雅黑" w:eastAsia="微软雅黑" w:cs="微软雅黑"/>
          <w:color w:val="7D3B05"/>
          <w:spacing w:val="-22"/>
          <w:sz w:val="18"/>
          <w:szCs w:val="18"/>
        </w:rPr>
        <w:t xml:space="preserve"> </w:t>
      </w:r>
      <w:r>
        <w:rPr>
          <w:rFonts w:ascii="Tahoma" w:hAnsi="Tahoma" w:eastAsia="Tahoma" w:cs="Tahoma"/>
          <w:color w:val="7D3B05"/>
          <w:sz w:val="18"/>
          <w:szCs w:val="18"/>
        </w:rPr>
        <w:t>http</w:t>
      </w:r>
      <w:r>
        <w:rPr>
          <w:rFonts w:ascii="Tahoma" w:hAnsi="Tahoma" w:eastAsia="Tahoma" w:cs="Tahoma"/>
          <w:color w:val="7D3B05"/>
          <w:spacing w:val="4"/>
          <w:sz w:val="18"/>
          <w:szCs w:val="18"/>
        </w:rPr>
        <w:t>://</w:t>
      </w:r>
      <w:r>
        <w:rPr>
          <w:rFonts w:ascii="Tahoma" w:hAnsi="Tahoma" w:eastAsia="Tahoma" w:cs="Tahoma"/>
          <w:color w:val="7D3B05"/>
          <w:sz w:val="18"/>
          <w:szCs w:val="18"/>
        </w:rPr>
        <w:t>www</w:t>
      </w:r>
      <w:r>
        <w:rPr>
          <w:rFonts w:ascii="Tahoma" w:hAnsi="Tahoma" w:eastAsia="Tahoma" w:cs="Tahoma"/>
          <w:color w:val="7D3B05"/>
          <w:spacing w:val="-32"/>
          <w:sz w:val="18"/>
          <w:szCs w:val="18"/>
        </w:rPr>
        <w:t xml:space="preserve"> </w:t>
      </w:r>
      <w:r>
        <w:rPr>
          <w:rFonts w:ascii="Tahoma" w:hAnsi="Tahoma" w:eastAsia="Tahoma" w:cs="Tahoma"/>
          <w:color w:val="7D3B05"/>
          <w:spacing w:val="4"/>
          <w:sz w:val="18"/>
          <w:szCs w:val="18"/>
        </w:rPr>
        <w:t>.</w:t>
      </w:r>
      <w:r>
        <w:rPr>
          <w:rFonts w:ascii="Tahoma" w:hAnsi="Tahoma" w:eastAsia="Tahoma" w:cs="Tahoma"/>
          <w:color w:val="7D3B05"/>
          <w:sz w:val="18"/>
          <w:szCs w:val="18"/>
        </w:rPr>
        <w:t>j</w:t>
      </w:r>
      <w:r>
        <w:rPr>
          <w:rFonts w:ascii="Tahoma" w:hAnsi="Tahoma" w:eastAsia="Tahoma" w:cs="Tahoma"/>
          <w:color w:val="7D3B05"/>
          <w:spacing w:val="-39"/>
          <w:sz w:val="18"/>
          <w:szCs w:val="18"/>
        </w:rPr>
        <w:t xml:space="preserve"> </w:t>
      </w:r>
      <w:r>
        <w:rPr>
          <w:rFonts w:ascii="Tahoma" w:hAnsi="Tahoma" w:eastAsia="Tahoma" w:cs="Tahoma"/>
          <w:color w:val="7D3B05"/>
          <w:sz w:val="18"/>
          <w:szCs w:val="18"/>
        </w:rPr>
        <w:t>lufe</w:t>
      </w:r>
      <w:r>
        <w:rPr>
          <w:rFonts w:ascii="Tahoma" w:hAnsi="Tahoma" w:eastAsia="Tahoma" w:cs="Tahoma"/>
          <w:color w:val="7D3B05"/>
          <w:spacing w:val="-33"/>
          <w:sz w:val="18"/>
          <w:szCs w:val="18"/>
        </w:rPr>
        <w:t xml:space="preserve"> </w:t>
      </w:r>
      <w:r>
        <w:rPr>
          <w:rFonts w:ascii="Tahoma" w:hAnsi="Tahoma" w:eastAsia="Tahoma" w:cs="Tahoma"/>
          <w:color w:val="7D3B05"/>
          <w:spacing w:val="4"/>
          <w:sz w:val="18"/>
          <w:szCs w:val="18"/>
        </w:rPr>
        <w:t>.</w:t>
      </w:r>
      <w:r>
        <w:rPr>
          <w:rFonts w:ascii="Tahoma" w:hAnsi="Tahoma" w:eastAsia="Tahoma" w:cs="Tahoma"/>
          <w:color w:val="7D3B05"/>
          <w:sz w:val="18"/>
          <w:szCs w:val="18"/>
        </w:rPr>
        <w:t>edu</w:t>
      </w:r>
      <w:r>
        <w:rPr>
          <w:rFonts w:ascii="Tahoma" w:hAnsi="Tahoma" w:eastAsia="Tahoma" w:cs="Tahoma"/>
          <w:color w:val="7D3B05"/>
          <w:spacing w:val="4"/>
          <w:sz w:val="18"/>
          <w:szCs w:val="18"/>
        </w:rPr>
        <w:t>.</w:t>
      </w:r>
      <w:r>
        <w:rPr>
          <w:rFonts w:ascii="Tahoma" w:hAnsi="Tahoma" w:eastAsia="Tahoma" w:cs="Tahoma"/>
          <w:color w:val="7D3B05"/>
          <w:sz w:val="18"/>
          <w:szCs w:val="18"/>
        </w:rPr>
        <w:t>cn</w:t>
      </w:r>
    </w:p>
    <w:p w14:paraId="6EB7B544">
      <w:pPr>
        <w:ind w:left="33"/>
        <w:rPr>
          <w:rFonts w:ascii="Tahoma" w:hAnsi="Tahoma" w:eastAsia="Tahoma" w:cs="Tahoma"/>
          <w:sz w:val="18"/>
          <w:szCs w:val="18"/>
        </w:rPr>
      </w:pPr>
      <w:r>
        <w:rPr>
          <w:rFonts w:ascii="Tahoma" w:hAnsi="Tahoma" w:eastAsia="Tahoma" w:cs="Tahoma"/>
          <w:color w:val="7D3B05"/>
          <w:spacing w:val="-1"/>
          <w:position w:val="3"/>
          <w:sz w:val="18"/>
          <w:szCs w:val="18"/>
        </w:rPr>
        <w:t>Website:</w:t>
      </w:r>
      <w:r>
        <w:rPr>
          <w:rFonts w:ascii="Tahoma" w:hAnsi="Tahoma" w:eastAsia="Tahoma" w:cs="Tahoma"/>
          <w:color w:val="7D3B05"/>
          <w:spacing w:val="27"/>
          <w:w w:val="101"/>
          <w:position w:val="3"/>
          <w:sz w:val="18"/>
          <w:szCs w:val="18"/>
        </w:rPr>
        <w:t xml:space="preserve"> </w:t>
      </w:r>
      <w:r>
        <w:fldChar w:fldCharType="begin"/>
      </w:r>
      <w:r>
        <w:instrText xml:space="preserve"> HYPERLINK "http://www.jlufe.edu.cn" </w:instrText>
      </w:r>
      <w:r>
        <w:fldChar w:fldCharType="separate"/>
      </w:r>
      <w:r>
        <w:rPr>
          <w:rFonts w:ascii="Tahoma" w:hAnsi="Tahoma" w:eastAsia="Tahoma" w:cs="Tahoma"/>
          <w:color w:val="7D3B05"/>
          <w:spacing w:val="-1"/>
          <w:position w:val="3"/>
          <w:sz w:val="18"/>
          <w:szCs w:val="18"/>
        </w:rPr>
        <w:t>http://www.jlufe.edu.cn</w:t>
      </w:r>
      <w:r>
        <w:rPr>
          <w:rFonts w:ascii="Tahoma" w:hAnsi="Tahoma" w:eastAsia="Tahoma" w:cs="Tahoma"/>
          <w:color w:val="7D3B05"/>
          <w:spacing w:val="-1"/>
          <w:position w:val="3"/>
          <w:sz w:val="18"/>
          <w:szCs w:val="18"/>
        </w:rPr>
        <w:fldChar w:fldCharType="end"/>
      </w:r>
    </w:p>
    <w:p w14:paraId="26A2401E">
      <w:pPr>
        <w:spacing w:line="360" w:lineRule="auto"/>
        <w:rPr>
          <w:rFonts w:ascii="Tahoma" w:hAnsi="Tahoma" w:eastAsia="Tahoma" w:cs="Tahoma"/>
          <w:sz w:val="18"/>
          <w:szCs w:val="18"/>
        </w:rPr>
        <w:sectPr>
          <w:type w:val="continuous"/>
          <w:pgSz w:w="11906" w:h="16839"/>
          <w:pgMar w:top="1295" w:right="1456" w:bottom="0" w:left="1454" w:header="643" w:footer="0" w:gutter="0"/>
          <w:cols w:equalWidth="0" w:num="3">
            <w:col w:w="3667" w:space="100"/>
            <w:col w:w="1782" w:space="100"/>
            <w:col w:w="3347"/>
          </w:cols>
        </w:sectPr>
      </w:pPr>
    </w:p>
    <w:p w14:paraId="64BE4B31">
      <w:pPr>
        <w:spacing w:line="360" w:lineRule="auto"/>
        <w:ind w:firstLine="2"/>
      </w:pPr>
      <w:r>
        <w:pict>
          <v:shape id="_x0000_s2055" o:spid="_x0000_s2055" style="height:1.45pt;width:449.65pt;" fillcolor="#7D3B05" filled="t" stroked="f" coordsize="8992,29" path="m0,0l8992,0,8992,28,0,28,0,0xe">
            <v:path/>
            <v:fill on="t" focussize="0,0"/>
            <v:stroke on="f"/>
            <v:imagedata o:title=""/>
            <o:lock v:ext="edit"/>
            <w10:wrap type="none"/>
            <w10:anchorlock/>
          </v:shape>
        </w:pict>
      </w:r>
    </w:p>
    <w:p w14:paraId="3E4BDB07">
      <w:pPr>
        <w:pStyle w:val="2"/>
        <w:spacing w:line="360" w:lineRule="auto"/>
        <w:ind w:right="112"/>
        <w:rPr>
          <w:lang w:eastAsia="zh-CN"/>
        </w:rPr>
      </w:pPr>
      <w:r>
        <w:rPr>
          <w:spacing w:val="-1"/>
          <w:lang w:eastAsia="zh-CN"/>
        </w:rPr>
        <w:t>分0.19分/篇。本项目最高累计加分不超过0.75 分。</w:t>
      </w:r>
    </w:p>
    <w:p w14:paraId="67415E19">
      <w:pPr>
        <w:pStyle w:val="2"/>
        <w:spacing w:line="360" w:lineRule="auto"/>
        <w:ind w:left="497"/>
        <w:jc w:val="both"/>
        <w:rPr>
          <w:rFonts w:asciiTheme="minorEastAsia" w:hAnsiTheme="minorEastAsia" w:eastAsiaTheme="minorEastAsia"/>
          <w:spacing w:val="-1"/>
          <w:lang w:eastAsia="zh-CN"/>
          <w14:textOutline w14:w="4356" w14:cap="sq" w14:cmpd="sng" w14:algn="ctr">
            <w14:solidFill>
              <w14:srgbClr w14:val="000000"/>
            </w14:solidFill>
            <w14:prstDash w14:val="solid"/>
            <w14:bevel/>
          </w14:textOutline>
        </w:rPr>
      </w:pPr>
      <w:r>
        <w:rPr>
          <w:rFonts w:asciiTheme="minorEastAsia" w:hAnsiTheme="minorEastAsia" w:eastAsiaTheme="minorEastAsia"/>
          <w:spacing w:val="-1"/>
          <w:lang w:eastAsia="zh-CN"/>
          <w14:textOutline w14:w="4356" w14:cap="sq" w14:cmpd="sng" w14:algn="ctr">
            <w14:solidFill>
              <w14:srgbClr w14:val="000000"/>
            </w14:solidFill>
            <w14:prstDash w14:val="solid"/>
            <w14:bevel/>
          </w14:textOutline>
        </w:rPr>
        <w:t>六</w:t>
      </w:r>
      <w:r>
        <w:rPr>
          <w:rFonts w:hint="eastAsia" w:asciiTheme="minorEastAsia" w:hAnsiTheme="minorEastAsia" w:eastAsiaTheme="minorEastAsia"/>
          <w:spacing w:val="-1"/>
          <w:lang w:eastAsia="zh-CN"/>
          <w14:textOutline w14:w="4356" w14:cap="sq" w14:cmpd="sng" w14:algn="ctr">
            <w14:solidFill>
              <w14:srgbClr w14:val="000000"/>
            </w14:solidFill>
            <w14:prstDash w14:val="solid"/>
            <w14:bevel/>
          </w14:textOutline>
        </w:rPr>
        <w:t>、推免排序原则</w:t>
      </w:r>
    </w:p>
    <w:p w14:paraId="42810C24">
      <w:pPr>
        <w:pStyle w:val="2"/>
        <w:spacing w:line="360" w:lineRule="auto"/>
        <w:ind w:left="0" w:leftChars="0" w:firstLine="476" w:firstLineChars="200"/>
        <w:outlineLvl w:val="0"/>
        <w:rPr>
          <w:rFonts w:hint="eastAsia" w:ascii="宋体" w:hAnsi="宋体" w:eastAsia="宋体" w:cs="宋体"/>
          <w:spacing w:val="-1"/>
          <w:lang w:eastAsia="zh-CN"/>
        </w:rPr>
      </w:pPr>
      <w:r>
        <w:rPr>
          <w:rFonts w:hint="eastAsia" w:ascii="宋体" w:hAnsi="宋体" w:eastAsia="宋体" w:cs="宋体"/>
          <w:spacing w:val="-1"/>
          <w:lang w:eastAsia="zh-CN"/>
        </w:rPr>
        <w:t>按综合成绩确定推免人选（综合成绩=理论必修课程加权平均成绩+ 附加分）。排序时，按照澳方课程补考通过科目从无到多的顺序依次确定层级。各层级内按综合成绩从高到低排序。</w:t>
      </w:r>
    </w:p>
    <w:p w14:paraId="5E2188CD">
      <w:pPr>
        <w:pStyle w:val="2"/>
        <w:spacing w:line="360" w:lineRule="auto"/>
        <w:ind w:left="497"/>
        <w:jc w:val="both"/>
        <w:rPr>
          <w:rFonts w:asciiTheme="minorEastAsia" w:hAnsiTheme="minorEastAsia" w:eastAsiaTheme="minorEastAsia"/>
          <w:spacing w:val="-1"/>
          <w:lang w:eastAsia="zh-CN"/>
          <w14:textOutline w14:w="4356" w14:cap="sq" w14:cmpd="sng" w14:algn="ctr">
            <w14:solidFill>
              <w14:srgbClr w14:val="000000"/>
            </w14:solidFill>
            <w14:prstDash w14:val="solid"/>
            <w14:bevel/>
          </w14:textOutline>
        </w:rPr>
      </w:pPr>
      <w:r>
        <w:rPr>
          <w:rFonts w:hint="eastAsia" w:asciiTheme="minorEastAsia" w:hAnsiTheme="minorEastAsia" w:eastAsiaTheme="minorEastAsia"/>
          <w:spacing w:val="-1"/>
          <w:lang w:eastAsia="zh-CN"/>
          <w14:textOutline w14:w="4356" w14:cap="sq" w14:cmpd="sng" w14:algn="ctr">
            <w14:solidFill>
              <w14:srgbClr w14:val="000000"/>
            </w14:solidFill>
            <w14:prstDash w14:val="solid"/>
            <w14:bevel/>
          </w14:textOutline>
        </w:rPr>
        <w:t>七</w:t>
      </w:r>
      <w:r>
        <w:rPr>
          <w:rFonts w:asciiTheme="minorEastAsia" w:hAnsiTheme="minorEastAsia" w:eastAsiaTheme="minorEastAsia"/>
          <w:spacing w:val="-1"/>
          <w:lang w:eastAsia="zh-CN"/>
          <w14:textOutline w14:w="4356" w14:cap="sq" w14:cmpd="sng" w14:algn="ctr">
            <w14:solidFill>
              <w14:srgbClr w14:val="000000"/>
            </w14:solidFill>
            <w14:prstDash w14:val="solid"/>
            <w14:bevel/>
          </w14:textOutline>
        </w:rPr>
        <w:t>、推免工作程序</w:t>
      </w:r>
    </w:p>
    <w:p w14:paraId="0975CAB8">
      <w:pPr>
        <w:pStyle w:val="2"/>
        <w:spacing w:line="360" w:lineRule="auto"/>
        <w:ind w:left="493"/>
        <w:outlineLvl w:val="0"/>
        <w:rPr>
          <w:spacing w:val="-1"/>
          <w:lang w:eastAsia="zh-CN"/>
        </w:rPr>
      </w:pPr>
      <w:r>
        <w:rPr>
          <w:rFonts w:hint="eastAsia"/>
          <w:lang w:eastAsia="zh-CN"/>
        </w:rPr>
        <w:t>1</w:t>
      </w:r>
      <w:r>
        <w:rPr>
          <w:lang w:eastAsia="zh-CN"/>
        </w:rPr>
        <w:t xml:space="preserve">. </w:t>
      </w:r>
      <w:r>
        <w:rPr>
          <w:spacing w:val="-1"/>
          <w:lang w:eastAsia="zh-CN"/>
        </w:rPr>
        <w:t>符合申请条件的学生，本人向学院提出申请，提交《吉林财经大学推荐优秀</w:t>
      </w:r>
    </w:p>
    <w:p w14:paraId="53C2D2C8">
      <w:pPr>
        <w:pStyle w:val="2"/>
        <w:spacing w:line="360" w:lineRule="auto"/>
        <w:ind w:right="112"/>
        <w:rPr>
          <w:spacing w:val="-1"/>
          <w:lang w:eastAsia="zh-CN"/>
        </w:rPr>
      </w:pPr>
      <w:r>
        <w:rPr>
          <w:spacing w:val="-1"/>
          <w:lang w:eastAsia="zh-CN"/>
        </w:rPr>
        <w:t>应届本科毕业生免试攻读研究生申请表》及有关成果和奖励等证明材料的复印件。</w:t>
      </w:r>
      <w:r>
        <w:rPr>
          <w:rFonts w:hint="eastAsia"/>
          <w:spacing w:val="-1"/>
          <w:lang w:eastAsia="zh-CN"/>
        </w:rPr>
        <w:t>所有材料以推免工作日程安排中各项时间安排截</w:t>
      </w:r>
      <w:r>
        <w:rPr>
          <w:rFonts w:hint="eastAsia"/>
          <w:spacing w:val="-1"/>
          <w:lang w:val="en-US" w:eastAsia="zh-CN"/>
        </w:rPr>
        <w:t>止</w:t>
      </w:r>
      <w:r>
        <w:rPr>
          <w:rFonts w:hint="eastAsia"/>
          <w:spacing w:val="-1"/>
          <w:lang w:eastAsia="zh-CN"/>
        </w:rPr>
        <w:t>日期前提交为准。</w:t>
      </w:r>
    </w:p>
    <w:p w14:paraId="52BCECDE">
      <w:pPr>
        <w:pStyle w:val="2"/>
        <w:spacing w:line="360" w:lineRule="auto"/>
        <w:ind w:left="11" w:right="113" w:firstLine="471"/>
        <w:rPr>
          <w:lang w:eastAsia="zh-CN"/>
        </w:rPr>
      </w:pPr>
      <w:r>
        <w:rPr>
          <w:rFonts w:ascii="Times New Roman" w:hAnsi="Times New Roman" w:eastAsia="Times New Roman" w:cs="Times New Roman"/>
          <w:spacing w:val="-1"/>
          <w:lang w:eastAsia="zh-CN"/>
        </w:rPr>
        <w:t>2</w:t>
      </w:r>
      <w:r>
        <w:rPr>
          <w:rFonts w:ascii="Times New Roman" w:hAnsi="Times New Roman" w:eastAsia="Times New Roman" w:cs="Times New Roman"/>
          <w:spacing w:val="-29"/>
          <w:lang w:eastAsia="zh-CN"/>
        </w:rPr>
        <w:t xml:space="preserve"> </w:t>
      </w:r>
      <w:r>
        <w:rPr>
          <w:rFonts w:hint="eastAsia"/>
          <w:spacing w:val="-1"/>
          <w:lang w:eastAsia="zh-CN"/>
        </w:rPr>
        <w:t>.</w:t>
      </w:r>
      <w:r>
        <w:rPr>
          <w:spacing w:val="-1"/>
          <w:lang w:eastAsia="zh-CN"/>
        </w:rPr>
        <w:t xml:space="preserve"> 学院推免生遴选工作小组对学生提交的申请及证明材料进行审核认定</w:t>
      </w:r>
      <w:r>
        <w:rPr>
          <w:spacing w:val="-2"/>
          <w:lang w:eastAsia="zh-CN"/>
        </w:rPr>
        <w:t>，按照</w:t>
      </w:r>
      <w:r>
        <w:rPr>
          <w:lang w:eastAsia="zh-CN"/>
        </w:rPr>
        <w:t xml:space="preserve">  </w:t>
      </w:r>
      <w:r>
        <w:rPr>
          <w:spacing w:val="-1"/>
          <w:lang w:eastAsia="zh-CN"/>
        </w:rPr>
        <w:t>学校分配给学院的推免名额有序确定人选。通过综合成绩排名、民主评议和为期</w:t>
      </w:r>
      <w:r>
        <w:rPr>
          <w:rFonts w:ascii="Times New Roman" w:hAnsi="Times New Roman" w:eastAsia="Times New Roman" w:cs="Times New Roman"/>
          <w:spacing w:val="-1"/>
          <w:lang w:eastAsia="zh-CN"/>
        </w:rPr>
        <w:t>5</w:t>
      </w:r>
      <w:r>
        <w:rPr>
          <w:spacing w:val="-1"/>
          <w:lang w:eastAsia="zh-CN"/>
        </w:rPr>
        <w:t>个</w:t>
      </w:r>
      <w:r>
        <w:rPr>
          <w:lang w:eastAsia="zh-CN"/>
        </w:rPr>
        <w:t xml:space="preserve"> 工作日的全院公示，确定本学院</w:t>
      </w:r>
      <w:r>
        <w:rPr>
          <w:rFonts w:hint="eastAsia"/>
          <w:lang w:val="en-US" w:eastAsia="zh-CN"/>
        </w:rPr>
        <w:t>拟</w:t>
      </w:r>
      <w:r>
        <w:rPr>
          <w:lang w:eastAsia="zh-CN"/>
        </w:rPr>
        <w:t>推免生名单，并报送</w:t>
      </w:r>
      <w:r>
        <w:rPr>
          <w:spacing w:val="-1"/>
          <w:lang w:eastAsia="zh-CN"/>
        </w:rPr>
        <w:t>至学校推免生遴选工作领导小组</w:t>
      </w:r>
      <w:r>
        <w:rPr>
          <w:spacing w:val="-8"/>
          <w:lang w:eastAsia="zh-CN"/>
        </w:rPr>
        <w:t>审核。</w:t>
      </w:r>
    </w:p>
    <w:p w14:paraId="1C728B2E">
      <w:pPr>
        <w:pStyle w:val="2"/>
        <w:spacing w:line="360" w:lineRule="auto"/>
        <w:ind w:firstLine="423" w:firstLineChars="178"/>
        <w:outlineLvl w:val="0"/>
        <w:rPr>
          <w:spacing w:val="-1"/>
          <w:lang w:eastAsia="zh-CN"/>
        </w:rPr>
      </w:pPr>
      <w:r>
        <w:rPr>
          <w:spacing w:val="-1"/>
          <w:lang w:eastAsia="zh-CN"/>
        </w:rPr>
        <w:t>3</w:t>
      </w:r>
      <w:r>
        <w:rPr>
          <w:rFonts w:hint="eastAsia"/>
          <w:spacing w:val="-1"/>
          <w:lang w:eastAsia="zh-CN"/>
        </w:rPr>
        <w:t>.</w:t>
      </w:r>
      <w:r>
        <w:rPr>
          <w:spacing w:val="-1"/>
          <w:lang w:eastAsia="zh-CN"/>
        </w:rPr>
        <w:t xml:space="preserve"> 推免生名单在学院公示期内，对有异议的学生，由学院推免生遴选工作小组负责受理。</w:t>
      </w:r>
    </w:p>
    <w:p w14:paraId="1D14B62A">
      <w:pPr>
        <w:pStyle w:val="2"/>
        <w:spacing w:line="360" w:lineRule="auto"/>
        <w:ind w:firstLine="423" w:firstLineChars="178"/>
        <w:outlineLvl w:val="0"/>
        <w:rPr>
          <w:spacing w:val="-1"/>
          <w:highlight w:val="none"/>
          <w:lang w:eastAsia="zh-CN"/>
        </w:rPr>
      </w:pPr>
      <w:r>
        <w:rPr>
          <w:spacing w:val="-1"/>
          <w:highlight w:val="none"/>
          <w:lang w:eastAsia="zh-CN"/>
        </w:rPr>
        <w:t>4</w:t>
      </w:r>
      <w:r>
        <w:rPr>
          <w:rFonts w:hint="eastAsia"/>
          <w:spacing w:val="-1"/>
          <w:highlight w:val="none"/>
          <w:lang w:eastAsia="zh-CN"/>
        </w:rPr>
        <w:t>.</w:t>
      </w:r>
      <w:r>
        <w:rPr>
          <w:spacing w:val="-1"/>
          <w:highlight w:val="none"/>
          <w:lang w:eastAsia="zh-CN"/>
        </w:rPr>
        <w:t xml:space="preserve"> 学校对通过审核的推免生名单进行公示。公示无异议后，</w:t>
      </w:r>
      <w:r>
        <w:rPr>
          <w:rFonts w:hint="eastAsia"/>
          <w:spacing w:val="-1"/>
          <w:highlight w:val="none"/>
          <w:lang w:val="en-US" w:eastAsia="zh-Hans"/>
        </w:rPr>
        <w:t>学院拟推免名单经</w:t>
      </w:r>
      <w:r>
        <w:rPr>
          <w:rFonts w:hint="eastAsia"/>
          <w:spacing w:val="-1"/>
          <w:highlight w:val="none"/>
          <w:lang w:val="en-US" w:eastAsia="zh-CN"/>
        </w:rPr>
        <w:t>校长办公会和党委</w:t>
      </w:r>
      <w:r>
        <w:rPr>
          <w:rFonts w:hint="eastAsia"/>
          <w:spacing w:val="-1"/>
          <w:highlight w:val="none"/>
          <w:lang w:val="en-US" w:eastAsia="zh-Hans"/>
        </w:rPr>
        <w:t>常委</w:t>
      </w:r>
      <w:r>
        <w:rPr>
          <w:rFonts w:hint="eastAsia"/>
          <w:spacing w:val="-1"/>
          <w:highlight w:val="none"/>
          <w:lang w:val="en-US" w:eastAsia="zh-CN"/>
        </w:rPr>
        <w:t>会</w:t>
      </w:r>
      <w:r>
        <w:rPr>
          <w:rFonts w:hint="eastAsia"/>
          <w:spacing w:val="-1"/>
          <w:highlight w:val="none"/>
          <w:lang w:val="en-US" w:eastAsia="zh-Hans"/>
        </w:rPr>
        <w:t>审定批准后形成学校推免名单</w:t>
      </w:r>
      <w:r>
        <w:rPr>
          <w:spacing w:val="-1"/>
          <w:highlight w:val="none"/>
          <w:lang w:eastAsia="zh-CN"/>
        </w:rPr>
        <w:t>。</w:t>
      </w:r>
    </w:p>
    <w:p w14:paraId="1254C145">
      <w:pPr>
        <w:pStyle w:val="2"/>
        <w:spacing w:line="360" w:lineRule="auto"/>
        <w:ind w:left="493"/>
        <w:outlineLvl w:val="0"/>
        <w:rPr>
          <w:spacing w:val="-1"/>
          <w:lang w:eastAsia="zh-CN"/>
        </w:rPr>
      </w:pPr>
      <w:r>
        <w:rPr>
          <w:spacing w:val="-1"/>
          <w:lang w:eastAsia="zh-CN"/>
        </w:rPr>
        <w:t>通过上述程序的学生即取得正式推免资格。</w:t>
      </w:r>
    </w:p>
    <w:p w14:paraId="64DB2804">
      <w:pPr>
        <w:pStyle w:val="2"/>
        <w:spacing w:line="360" w:lineRule="auto"/>
        <w:ind w:left="2" w:firstLine="423" w:firstLineChars="177"/>
        <w:outlineLvl w:val="0"/>
        <w:rPr>
          <w:spacing w:val="-1"/>
          <w:lang w:eastAsia="zh-CN"/>
        </w:rPr>
      </w:pPr>
      <w:r>
        <w:rPr>
          <w:rFonts w:hint="eastAsia"/>
          <w:b/>
          <w:bCs/>
          <w:spacing w:val="-1"/>
          <w:lang w:eastAsia="zh-CN"/>
        </w:rPr>
        <w:t>八</w:t>
      </w:r>
      <w:r>
        <w:rPr>
          <w:b/>
          <w:bCs/>
          <w:spacing w:val="-1"/>
          <w:lang w:eastAsia="zh-CN"/>
        </w:rPr>
        <w:t>、</w:t>
      </w:r>
      <w:r>
        <w:rPr>
          <w:spacing w:val="-1"/>
          <w:lang w:eastAsia="zh-CN"/>
        </w:rPr>
        <w:t>本办法由推免生遴选工作小组负责解释。</w:t>
      </w:r>
    </w:p>
    <w:p w14:paraId="5531FE82">
      <w:pPr>
        <w:pStyle w:val="2"/>
        <w:spacing w:line="360" w:lineRule="auto"/>
        <w:ind w:firstLine="423" w:firstLineChars="177"/>
        <w:rPr>
          <w:spacing w:val="-1"/>
          <w:lang w:eastAsia="zh-CN"/>
        </w:rPr>
      </w:pPr>
      <w:r>
        <w:rPr>
          <w:rFonts w:hint="eastAsia"/>
          <w:b/>
          <w:bCs/>
          <w:spacing w:val="-1"/>
          <w:lang w:eastAsia="zh-CN"/>
        </w:rPr>
        <w:t>九</w:t>
      </w:r>
      <w:r>
        <w:rPr>
          <w:b/>
          <w:bCs/>
          <w:spacing w:val="-1"/>
          <w:lang w:eastAsia="zh-CN"/>
        </w:rPr>
        <w:t>、</w:t>
      </w:r>
      <w:r>
        <w:rPr>
          <w:spacing w:val="-1"/>
          <w:lang w:eastAsia="zh-CN"/>
        </w:rPr>
        <w:t>本办法自发布之日起执行。如本办法在实施过程中与教育部、吉林省教育等教育主管部门当年下发文件政策不一致的，以当年文件政策为准。</w:t>
      </w:r>
    </w:p>
    <w:p w14:paraId="377A3C9F">
      <w:pPr>
        <w:pStyle w:val="2"/>
        <w:spacing w:line="360" w:lineRule="auto"/>
        <w:ind w:firstLine="421" w:firstLineChars="177"/>
        <w:rPr>
          <w:spacing w:val="-1"/>
          <w:lang w:eastAsia="zh-CN"/>
        </w:rPr>
      </w:pPr>
    </w:p>
    <w:p w14:paraId="1D01E05A">
      <w:pPr>
        <w:pStyle w:val="2"/>
        <w:spacing w:line="360" w:lineRule="auto"/>
        <w:ind w:firstLine="421" w:firstLineChars="177"/>
        <w:rPr>
          <w:spacing w:val="-1"/>
          <w:lang w:eastAsia="zh-CN"/>
        </w:rPr>
      </w:pPr>
    </w:p>
    <w:p w14:paraId="4FDC232E">
      <w:pPr>
        <w:pStyle w:val="2"/>
        <w:spacing w:line="360" w:lineRule="auto"/>
        <w:ind w:firstLine="421" w:firstLineChars="177"/>
        <w:rPr>
          <w:rFonts w:hint="eastAsia"/>
          <w:spacing w:val="-1"/>
          <w:lang w:eastAsia="zh-CN"/>
        </w:rPr>
      </w:pPr>
    </w:p>
    <w:p w14:paraId="452152FF">
      <w:pPr>
        <w:pStyle w:val="2"/>
        <w:spacing w:line="360" w:lineRule="auto"/>
        <w:ind w:left="3803"/>
        <w:jc w:val="right"/>
        <w:rPr>
          <w:spacing w:val="-1"/>
          <w:lang w:eastAsia="zh-CN"/>
        </w:rPr>
      </w:pPr>
      <w:r>
        <w:rPr>
          <w:spacing w:val="-1"/>
          <w:lang w:eastAsia="zh-CN"/>
        </w:rPr>
        <w:t>吉林财经大学国际</w:t>
      </w:r>
      <w:r>
        <w:rPr>
          <w:rFonts w:hint="eastAsia"/>
          <w:spacing w:val="-1"/>
          <w:lang w:val="en-US" w:eastAsia="zh-CN"/>
        </w:rPr>
        <w:t>教育</w:t>
      </w:r>
      <w:r>
        <w:rPr>
          <w:spacing w:val="-1"/>
          <w:lang w:eastAsia="zh-CN"/>
        </w:rPr>
        <w:t>学院</w:t>
      </w:r>
    </w:p>
    <w:p w14:paraId="288AF683">
      <w:pPr>
        <w:pStyle w:val="2"/>
        <w:spacing w:line="360" w:lineRule="auto"/>
        <w:ind w:left="4498"/>
        <w:jc w:val="right"/>
        <w:rPr>
          <w:spacing w:val="-1"/>
          <w:lang w:eastAsia="zh-CN"/>
        </w:rPr>
      </w:pPr>
      <w:r>
        <w:rPr>
          <w:spacing w:val="-1"/>
          <w:lang w:eastAsia="zh-CN"/>
        </w:rPr>
        <w:t>二○二</w:t>
      </w:r>
      <w:r>
        <w:rPr>
          <w:rFonts w:hint="eastAsia"/>
          <w:spacing w:val="-1"/>
          <w:lang w:val="en-US" w:eastAsia="zh-CN"/>
        </w:rPr>
        <w:t>五</w:t>
      </w:r>
      <w:r>
        <w:rPr>
          <w:spacing w:val="-1"/>
          <w:lang w:eastAsia="zh-CN"/>
        </w:rPr>
        <w:t>年</w:t>
      </w:r>
      <w:r>
        <w:rPr>
          <w:rFonts w:hint="eastAsia"/>
          <w:spacing w:val="-1"/>
          <w:lang w:val="en-US" w:eastAsia="zh-CN"/>
        </w:rPr>
        <w:t>九</w:t>
      </w:r>
      <w:r>
        <w:rPr>
          <w:spacing w:val="-1"/>
          <w:lang w:eastAsia="zh-CN"/>
        </w:rPr>
        <w:t>月</w:t>
      </w:r>
    </w:p>
    <w:p w14:paraId="16E06D9B">
      <w:pPr>
        <w:rPr>
          <w:rFonts w:eastAsiaTheme="minorEastAsia"/>
          <w:lang w:eastAsia="zh-CN"/>
        </w:rPr>
      </w:pPr>
    </w:p>
    <w:p w14:paraId="55830159">
      <w:pPr>
        <w:rPr>
          <w:rFonts w:eastAsiaTheme="minorEastAsia"/>
          <w:lang w:eastAsia="zh-CN"/>
        </w:rPr>
      </w:pPr>
    </w:p>
    <w:p w14:paraId="7A2C0D59">
      <w:pPr>
        <w:rPr>
          <w:rFonts w:eastAsiaTheme="minorEastAsia"/>
          <w:lang w:eastAsia="zh-CN"/>
        </w:rPr>
      </w:pPr>
    </w:p>
    <w:p w14:paraId="734524FB">
      <w:pPr>
        <w:rPr>
          <w:rFonts w:hint="eastAsia" w:eastAsiaTheme="minorEastAsia"/>
          <w:lang w:eastAsia="zh-CN"/>
        </w:rPr>
      </w:pPr>
    </w:p>
    <w:p w14:paraId="1068162B">
      <w:pPr>
        <w:rPr>
          <w:rFonts w:eastAsiaTheme="minorEastAsia"/>
          <w:lang w:eastAsia="zh-CN"/>
        </w:rPr>
      </w:pPr>
    </w:p>
    <w:p w14:paraId="60EB2C87">
      <w:pPr>
        <w:rPr>
          <w:rFonts w:hint="eastAsia" w:eastAsiaTheme="minorEastAsia"/>
          <w:lang w:eastAsia="zh-CN"/>
        </w:rPr>
      </w:pPr>
    </w:p>
    <w:p w14:paraId="42AED12B">
      <w:pPr>
        <w:rPr>
          <w:rFonts w:hint="eastAsia" w:eastAsiaTheme="minorEastAsia"/>
          <w:lang w:eastAsia="zh-CN"/>
        </w:rPr>
      </w:pPr>
      <w:r>
        <w:pict>
          <v:rect id="_x0000_s2054" o:spid="_x0000_s2054" o:spt="1" style="position:absolute;left:0pt;margin-left:72.85pt;margin-top:792.9pt;height:1.45pt;width:449.65pt;mso-position-horizontal-relative:page;mso-position-vertical-relative:page;z-index:251660288;mso-width-relative:page;mso-height-relative:page;" fillcolor="#7D3B05" filled="t" stroked="f" coordsize="21600,21600" o:allowincell="f">
            <v:path/>
            <v:fill on="t" focussize="0,0"/>
            <v:stroke on="f"/>
            <v:imagedata o:title=""/>
            <o:lock v:ext="edit"/>
          </v:rect>
        </w:pict>
      </w:r>
    </w:p>
    <w:p w14:paraId="1A074C4B">
      <w:pPr>
        <w:rPr>
          <w:lang w:eastAsia="zh-CN"/>
        </w:rPr>
        <w:sectPr>
          <w:headerReference r:id="rId5" w:type="default"/>
          <w:pgSz w:w="11906" w:h="16839"/>
          <w:pgMar w:top="1296" w:right="1456" w:bottom="0" w:left="1454" w:header="643" w:footer="0" w:gutter="0"/>
          <w:cols w:equalWidth="0" w:num="1">
            <w:col w:w="8995"/>
          </w:cols>
        </w:sectPr>
      </w:pPr>
    </w:p>
    <w:p w14:paraId="14D3344E">
      <w:pPr>
        <w:ind w:left="3"/>
        <w:rPr>
          <w:rFonts w:ascii="微软雅黑" w:hAnsi="微软雅黑" w:eastAsia="微软雅黑" w:cs="微软雅黑"/>
          <w:sz w:val="18"/>
          <w:szCs w:val="18"/>
          <w:lang w:eastAsia="zh-CN"/>
        </w:rPr>
      </w:pPr>
      <w:r>
        <w:rPr>
          <w:rFonts w:ascii="微软雅黑" w:hAnsi="微软雅黑" w:eastAsia="微软雅黑" w:cs="微软雅黑"/>
          <w:color w:val="7D3B05"/>
          <w:spacing w:val="-1"/>
          <w:sz w:val="18"/>
          <w:szCs w:val="18"/>
          <w:lang w:eastAsia="zh-CN"/>
        </w:rPr>
        <w:t>地址：中国•长春  吉林财经大学</w:t>
      </w:r>
    </w:p>
    <w:p w14:paraId="0D3C3BF7">
      <w:pPr>
        <w:ind w:left="1"/>
        <w:rPr>
          <w:rFonts w:ascii="Tahoma" w:hAnsi="Tahoma" w:eastAsia="Tahoma" w:cs="Tahoma"/>
          <w:sz w:val="18"/>
          <w:szCs w:val="18"/>
        </w:rPr>
      </w:pPr>
      <w:r>
        <w:rPr>
          <w:rFonts w:ascii="Tahoma" w:hAnsi="Tahoma" w:eastAsia="Tahoma" w:cs="Tahoma"/>
          <w:color w:val="7D3B05"/>
          <w:sz w:val="18"/>
          <w:szCs w:val="18"/>
        </w:rPr>
        <w:t>Add: JLUFE, Changchun, Chi</w:t>
      </w:r>
      <w:r>
        <w:rPr>
          <w:rFonts w:ascii="Tahoma" w:hAnsi="Tahoma" w:eastAsia="Tahoma" w:cs="Tahoma"/>
          <w:color w:val="7D3B05"/>
          <w:spacing w:val="-1"/>
          <w:sz w:val="18"/>
          <w:szCs w:val="18"/>
        </w:rPr>
        <w:t>na</w:t>
      </w:r>
    </w:p>
    <w:p w14:paraId="31A86BB5">
      <w:pPr>
        <w:rPr>
          <w:sz w:val="2"/>
        </w:rPr>
      </w:pPr>
      <w:r>
        <w:rPr>
          <w:sz w:val="2"/>
          <w:szCs w:val="2"/>
        </w:rPr>
        <w:br w:type="column"/>
      </w:r>
    </w:p>
    <w:p w14:paraId="56902D24">
      <w:pPr>
        <w:rPr>
          <w:rFonts w:ascii="Tahoma" w:hAnsi="Tahoma" w:eastAsia="Tahoma" w:cs="Tahoma"/>
          <w:sz w:val="18"/>
          <w:szCs w:val="18"/>
        </w:rPr>
      </w:pPr>
      <w:r>
        <w:rPr>
          <w:rFonts w:ascii="微软雅黑" w:hAnsi="微软雅黑" w:eastAsia="微软雅黑" w:cs="微软雅黑"/>
          <w:color w:val="7D3B05"/>
          <w:spacing w:val="-6"/>
          <w:sz w:val="18"/>
          <w:szCs w:val="18"/>
        </w:rPr>
        <w:t>邮编</w:t>
      </w:r>
      <w:r>
        <w:rPr>
          <w:rFonts w:ascii="微软雅黑" w:hAnsi="微软雅黑" w:eastAsia="微软雅黑" w:cs="微软雅黑"/>
          <w:color w:val="7D3B05"/>
          <w:spacing w:val="-13"/>
          <w:sz w:val="18"/>
          <w:szCs w:val="18"/>
        </w:rPr>
        <w:t xml:space="preserve"> </w:t>
      </w:r>
      <w:r>
        <w:rPr>
          <w:rFonts w:ascii="微软雅黑" w:hAnsi="微软雅黑" w:eastAsia="微软雅黑" w:cs="微软雅黑"/>
          <w:color w:val="7D3B05"/>
          <w:spacing w:val="-6"/>
          <w:sz w:val="18"/>
          <w:szCs w:val="18"/>
        </w:rPr>
        <w:t>：</w:t>
      </w:r>
      <w:r>
        <w:rPr>
          <w:rFonts w:ascii="Tahoma" w:hAnsi="Tahoma" w:eastAsia="Tahoma" w:cs="Tahoma"/>
          <w:color w:val="7D3B05"/>
          <w:spacing w:val="-6"/>
          <w:sz w:val="18"/>
          <w:szCs w:val="18"/>
        </w:rPr>
        <w:t>130117</w:t>
      </w:r>
    </w:p>
    <w:p w14:paraId="125068FA">
      <w:pPr>
        <w:ind w:left="55"/>
        <w:rPr>
          <w:rFonts w:ascii="Tahoma" w:hAnsi="Tahoma" w:eastAsia="Tahoma" w:cs="Tahoma"/>
          <w:sz w:val="18"/>
          <w:szCs w:val="18"/>
        </w:rPr>
      </w:pPr>
      <w:r>
        <w:rPr>
          <w:rFonts w:ascii="Tahoma" w:hAnsi="Tahoma" w:eastAsia="Tahoma" w:cs="Tahoma"/>
          <w:color w:val="7D3B05"/>
          <w:spacing w:val="-2"/>
          <w:sz w:val="18"/>
          <w:szCs w:val="18"/>
        </w:rPr>
        <w:t>P.C.:130117</w:t>
      </w:r>
    </w:p>
    <w:p w14:paraId="01A83A52">
      <w:pPr>
        <w:rPr>
          <w:sz w:val="2"/>
        </w:rPr>
      </w:pPr>
      <w:r>
        <w:rPr>
          <w:sz w:val="2"/>
          <w:szCs w:val="2"/>
        </w:rPr>
        <w:br w:type="column"/>
      </w:r>
    </w:p>
    <w:p w14:paraId="43120ECB">
      <w:pPr>
        <w:rPr>
          <w:rFonts w:ascii="Tahoma" w:hAnsi="Tahoma" w:eastAsia="Tahoma" w:cs="Tahoma"/>
          <w:sz w:val="18"/>
          <w:szCs w:val="18"/>
        </w:rPr>
      </w:pPr>
      <w:r>
        <w:rPr>
          <w:rFonts w:ascii="微软雅黑" w:hAnsi="微软雅黑" w:eastAsia="微软雅黑" w:cs="微软雅黑"/>
          <w:color w:val="7D3B05"/>
          <w:spacing w:val="4"/>
          <w:sz w:val="18"/>
          <w:szCs w:val="18"/>
        </w:rPr>
        <w:t>网址：</w:t>
      </w:r>
      <w:r>
        <w:rPr>
          <w:rFonts w:ascii="微软雅黑" w:hAnsi="微软雅黑" w:eastAsia="微软雅黑" w:cs="微软雅黑"/>
          <w:color w:val="7D3B05"/>
          <w:spacing w:val="-22"/>
          <w:sz w:val="18"/>
          <w:szCs w:val="18"/>
        </w:rPr>
        <w:t xml:space="preserve"> </w:t>
      </w:r>
      <w:r>
        <w:rPr>
          <w:rFonts w:ascii="Tahoma" w:hAnsi="Tahoma" w:eastAsia="Tahoma" w:cs="Tahoma"/>
          <w:color w:val="7D3B05"/>
          <w:sz w:val="18"/>
          <w:szCs w:val="18"/>
        </w:rPr>
        <w:t>http</w:t>
      </w:r>
      <w:r>
        <w:rPr>
          <w:rFonts w:ascii="Tahoma" w:hAnsi="Tahoma" w:eastAsia="Tahoma" w:cs="Tahoma"/>
          <w:color w:val="7D3B05"/>
          <w:spacing w:val="4"/>
          <w:sz w:val="18"/>
          <w:szCs w:val="18"/>
        </w:rPr>
        <w:t>://</w:t>
      </w:r>
      <w:r>
        <w:rPr>
          <w:rFonts w:ascii="Tahoma" w:hAnsi="Tahoma" w:eastAsia="Tahoma" w:cs="Tahoma"/>
          <w:color w:val="7D3B05"/>
          <w:sz w:val="18"/>
          <w:szCs w:val="18"/>
        </w:rPr>
        <w:t>www</w:t>
      </w:r>
      <w:r>
        <w:rPr>
          <w:rFonts w:ascii="Tahoma" w:hAnsi="Tahoma" w:eastAsia="Tahoma" w:cs="Tahoma"/>
          <w:color w:val="7D3B05"/>
          <w:spacing w:val="-32"/>
          <w:sz w:val="18"/>
          <w:szCs w:val="18"/>
        </w:rPr>
        <w:t xml:space="preserve"> </w:t>
      </w:r>
      <w:r>
        <w:rPr>
          <w:rFonts w:ascii="Tahoma" w:hAnsi="Tahoma" w:eastAsia="Tahoma" w:cs="Tahoma"/>
          <w:color w:val="7D3B05"/>
          <w:spacing w:val="4"/>
          <w:sz w:val="18"/>
          <w:szCs w:val="18"/>
        </w:rPr>
        <w:t>.</w:t>
      </w:r>
      <w:r>
        <w:rPr>
          <w:rFonts w:ascii="Tahoma" w:hAnsi="Tahoma" w:eastAsia="Tahoma" w:cs="Tahoma"/>
          <w:color w:val="7D3B05"/>
          <w:sz w:val="18"/>
          <w:szCs w:val="18"/>
        </w:rPr>
        <w:t>j</w:t>
      </w:r>
      <w:r>
        <w:rPr>
          <w:rFonts w:ascii="Tahoma" w:hAnsi="Tahoma" w:eastAsia="Tahoma" w:cs="Tahoma"/>
          <w:color w:val="7D3B05"/>
          <w:spacing w:val="-39"/>
          <w:sz w:val="18"/>
          <w:szCs w:val="18"/>
        </w:rPr>
        <w:t xml:space="preserve"> </w:t>
      </w:r>
      <w:r>
        <w:rPr>
          <w:rFonts w:ascii="Tahoma" w:hAnsi="Tahoma" w:eastAsia="Tahoma" w:cs="Tahoma"/>
          <w:color w:val="7D3B05"/>
          <w:sz w:val="18"/>
          <w:szCs w:val="18"/>
        </w:rPr>
        <w:t>lufe</w:t>
      </w:r>
      <w:r>
        <w:rPr>
          <w:rFonts w:ascii="Tahoma" w:hAnsi="Tahoma" w:eastAsia="Tahoma" w:cs="Tahoma"/>
          <w:color w:val="7D3B05"/>
          <w:spacing w:val="-33"/>
          <w:sz w:val="18"/>
          <w:szCs w:val="18"/>
        </w:rPr>
        <w:t xml:space="preserve"> </w:t>
      </w:r>
      <w:r>
        <w:rPr>
          <w:rFonts w:ascii="Tahoma" w:hAnsi="Tahoma" w:eastAsia="Tahoma" w:cs="Tahoma"/>
          <w:color w:val="7D3B05"/>
          <w:spacing w:val="4"/>
          <w:sz w:val="18"/>
          <w:szCs w:val="18"/>
        </w:rPr>
        <w:t>.</w:t>
      </w:r>
      <w:r>
        <w:rPr>
          <w:rFonts w:ascii="Tahoma" w:hAnsi="Tahoma" w:eastAsia="Tahoma" w:cs="Tahoma"/>
          <w:color w:val="7D3B05"/>
          <w:sz w:val="18"/>
          <w:szCs w:val="18"/>
        </w:rPr>
        <w:t>edu</w:t>
      </w:r>
      <w:r>
        <w:rPr>
          <w:rFonts w:ascii="Tahoma" w:hAnsi="Tahoma" w:eastAsia="Tahoma" w:cs="Tahoma"/>
          <w:color w:val="7D3B05"/>
          <w:spacing w:val="4"/>
          <w:sz w:val="18"/>
          <w:szCs w:val="18"/>
        </w:rPr>
        <w:t>.</w:t>
      </w:r>
      <w:r>
        <w:rPr>
          <w:rFonts w:ascii="Tahoma" w:hAnsi="Tahoma" w:eastAsia="Tahoma" w:cs="Tahoma"/>
          <w:color w:val="7D3B05"/>
          <w:sz w:val="18"/>
          <w:szCs w:val="18"/>
        </w:rPr>
        <w:t>cn</w:t>
      </w:r>
    </w:p>
    <w:p w14:paraId="2998F939">
      <w:pPr>
        <w:ind w:left="33"/>
        <w:rPr>
          <w:rFonts w:ascii="Tahoma" w:hAnsi="Tahoma" w:eastAsia="Tahoma" w:cs="Tahoma"/>
          <w:sz w:val="18"/>
          <w:szCs w:val="18"/>
        </w:rPr>
      </w:pPr>
      <w:r>
        <w:rPr>
          <w:rFonts w:ascii="Tahoma" w:hAnsi="Tahoma" w:eastAsia="Tahoma" w:cs="Tahoma"/>
          <w:color w:val="7D3B05"/>
          <w:spacing w:val="-1"/>
          <w:position w:val="3"/>
          <w:sz w:val="18"/>
          <w:szCs w:val="18"/>
        </w:rPr>
        <w:t>Website:</w:t>
      </w:r>
      <w:r>
        <w:rPr>
          <w:rFonts w:ascii="Tahoma" w:hAnsi="Tahoma" w:eastAsia="Tahoma" w:cs="Tahoma"/>
          <w:color w:val="7D3B05"/>
          <w:spacing w:val="27"/>
          <w:w w:val="101"/>
          <w:position w:val="3"/>
          <w:sz w:val="18"/>
          <w:szCs w:val="18"/>
        </w:rPr>
        <w:t xml:space="preserve"> </w:t>
      </w:r>
      <w:r>
        <w:fldChar w:fldCharType="begin"/>
      </w:r>
      <w:r>
        <w:instrText xml:space="preserve"> HYPERLINK "http://www.jlufe.edu.cn" </w:instrText>
      </w:r>
      <w:r>
        <w:fldChar w:fldCharType="separate"/>
      </w:r>
      <w:r>
        <w:rPr>
          <w:rFonts w:ascii="Tahoma" w:hAnsi="Tahoma" w:eastAsia="Tahoma" w:cs="Tahoma"/>
          <w:color w:val="7D3B05"/>
          <w:spacing w:val="-1"/>
          <w:position w:val="3"/>
          <w:sz w:val="18"/>
          <w:szCs w:val="18"/>
        </w:rPr>
        <w:t>http://www.jlufe.edu.cn</w:t>
      </w:r>
      <w:r>
        <w:rPr>
          <w:rFonts w:ascii="Tahoma" w:hAnsi="Tahoma" w:eastAsia="Tahoma" w:cs="Tahoma"/>
          <w:color w:val="7D3B05"/>
          <w:spacing w:val="-1"/>
          <w:position w:val="3"/>
          <w:sz w:val="18"/>
          <w:szCs w:val="18"/>
        </w:rPr>
        <w:fldChar w:fldCharType="end"/>
      </w:r>
    </w:p>
    <w:sectPr>
      <w:type w:val="continuous"/>
      <w:pgSz w:w="11906" w:h="16839"/>
      <w:pgMar w:top="1296" w:right="1456" w:bottom="0" w:left="1454" w:header="643" w:footer="0" w:gutter="0"/>
      <w:cols w:equalWidth="0" w:num="3">
        <w:col w:w="3667" w:space="100"/>
        <w:col w:w="1782" w:space="100"/>
        <w:col w:w="334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DF2B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02908">
    <w:pPr>
      <w:spacing w:before="93" w:line="222" w:lineRule="auto"/>
      <w:ind w:left="6944"/>
      <w:rPr>
        <w:rFonts w:ascii="仿宋" w:hAnsi="仿宋" w:eastAsia="仿宋" w:cs="仿宋"/>
        <w:sz w:val="18"/>
        <w:szCs w:val="18"/>
      </w:rPr>
    </w:pPr>
    <w:r>
      <w:pict>
        <v:rect id="_x0000_s1025" o:spid="_x0000_s1025" o:spt="1" style="position:absolute;left:0pt;margin-left:72.85pt;margin-top:63.5pt;height:0.75pt;width:449.65pt;mso-position-horizontal-relative:page;mso-position-vertical-relative:page;z-index:251661312;mso-width-relative:page;mso-height-relative:page;" fillcolor="#7D3B05" filled="t" stroked="f" coordsize="21600,21600" o:allowincell="f">
          <v:path/>
          <v:fill on="t" focussize="0,0"/>
          <v:stroke on="f"/>
          <v:imagedata o:title=""/>
          <o:lock v:ext="edit"/>
        </v:rect>
      </w:pict>
    </w:r>
    <w:r>
      <w:drawing>
        <wp:anchor distT="0" distB="0" distL="0" distR="0" simplePos="0" relativeHeight="251662336" behindDoc="0" locked="0" layoutInCell="0" allowOverlap="1">
          <wp:simplePos x="0" y="0"/>
          <wp:positionH relativeFrom="page">
            <wp:posOffset>923290</wp:posOffset>
          </wp:positionH>
          <wp:positionV relativeFrom="page">
            <wp:posOffset>408305</wp:posOffset>
          </wp:positionV>
          <wp:extent cx="2124710" cy="41465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2124455" cy="414527"/>
                  </a:xfrm>
                  <a:prstGeom prst="rect">
                    <a:avLst/>
                  </a:prstGeom>
                </pic:spPr>
              </pic:pic>
            </a:graphicData>
          </a:graphic>
        </wp:anchor>
      </w:drawing>
    </w:r>
    <w:r>
      <w:pict>
        <v:shape id="WordPictureWatermark4" o:spid="_x0000_s1026" o:spt="75" type="#_x0000_t75" style="position:absolute;left:0pt;margin-left:110.2pt;margin-top:239.3pt;height:362.65pt;width:361.95pt;mso-position-horizontal-relative:page;mso-position-vertical-relative:page;z-index:-251656192;mso-width-relative:page;mso-height-relative:page;" filled="f" o:preferrelative="t" stroked="f" coordsize="21600,21600" o:allowincell="f">
          <v:path/>
          <v:fill on="f" focussize="0,0"/>
          <v:stroke on="f" joinstyle="miter"/>
          <v:imagedata r:id="rId2" o:title=""/>
          <o:lock v:ext="edit" aspectratio="t"/>
        </v:shape>
      </w:pict>
    </w:r>
    <w:r>
      <w:rPr>
        <w:rFonts w:ascii="仿宋" w:hAnsi="仿宋" w:eastAsia="仿宋" w:cs="仿宋"/>
        <w:color w:val="7D3B05"/>
        <w:spacing w:val="-6"/>
        <w:sz w:val="18"/>
        <w:szCs w:val="18"/>
      </w:rPr>
      <w:t>国际</w:t>
    </w:r>
    <w:r>
      <w:rPr>
        <w:rFonts w:hint="eastAsia" w:ascii="仿宋" w:hAnsi="仿宋" w:eastAsia="仿宋" w:cs="仿宋"/>
        <w:color w:val="7D3B05"/>
        <w:spacing w:val="-6"/>
        <w:sz w:val="18"/>
        <w:szCs w:val="18"/>
        <w:lang w:val="en-US" w:eastAsia="zh-CN"/>
      </w:rPr>
      <w:t>教育</w:t>
    </w:r>
    <w:r>
      <w:rPr>
        <w:rFonts w:ascii="仿宋" w:hAnsi="仿宋" w:eastAsia="仿宋" w:cs="仿宋"/>
        <w:color w:val="7D3B05"/>
        <w:spacing w:val="-6"/>
        <w:sz w:val="18"/>
        <w:szCs w:val="18"/>
      </w:rPr>
      <w:t>学院</w:t>
    </w:r>
  </w:p>
  <w:p w14:paraId="4460DD68">
    <w:pPr>
      <w:spacing w:before="27" w:line="209" w:lineRule="auto"/>
      <w:ind w:left="6250"/>
      <w:rPr>
        <w:rFonts w:hint="default" w:ascii="微软雅黑" w:hAnsi="微软雅黑" w:eastAsia="微软雅黑" w:cs="微软雅黑"/>
        <w:sz w:val="16"/>
        <w:szCs w:val="16"/>
        <w:lang w:val="en-US" w:eastAsia="zh-CN"/>
      </w:rPr>
    </w:pPr>
    <w:r>
      <w:rPr>
        <w:rFonts w:ascii="微软雅黑" w:hAnsi="微软雅黑" w:eastAsia="微软雅黑" w:cs="微软雅黑"/>
        <w:color w:val="7D3B05"/>
        <w:spacing w:val="-2"/>
        <w:sz w:val="16"/>
        <w:szCs w:val="16"/>
      </w:rPr>
      <w:t>School</w:t>
    </w:r>
    <w:r>
      <w:rPr>
        <w:rFonts w:hint="eastAsia" w:ascii="微软雅黑" w:hAnsi="微软雅黑" w:eastAsia="微软雅黑" w:cs="微软雅黑"/>
        <w:color w:val="7D3B05"/>
        <w:spacing w:val="-2"/>
        <w:sz w:val="16"/>
        <w:szCs w:val="16"/>
        <w:lang w:val="en-US" w:eastAsia="zh-CN"/>
      </w:rPr>
      <w:t xml:space="preserve"> of International Education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B1CBF">
    <w:pPr>
      <w:spacing w:before="93" w:line="222" w:lineRule="auto"/>
      <w:ind w:left="6944"/>
      <w:rPr>
        <w:rFonts w:ascii="仿宋" w:hAnsi="仿宋" w:eastAsia="仿宋" w:cs="仿宋"/>
        <w:sz w:val="18"/>
        <w:szCs w:val="18"/>
      </w:rPr>
    </w:pPr>
    <w:r>
      <mc:AlternateContent>
        <mc:Choice Requires="wps">
          <w:drawing>
            <wp:anchor distT="0" distB="0" distL="114300" distR="114300" simplePos="0" relativeHeight="251664384" behindDoc="0" locked="0" layoutInCell="0" allowOverlap="1">
              <wp:simplePos x="0" y="0"/>
              <wp:positionH relativeFrom="page">
                <wp:posOffset>925195</wp:posOffset>
              </wp:positionH>
              <wp:positionV relativeFrom="page">
                <wp:posOffset>806450</wp:posOffset>
              </wp:positionV>
              <wp:extent cx="5710555" cy="9525"/>
              <wp:effectExtent l="0" t="0" r="0" b="0"/>
              <wp:wrapNone/>
              <wp:docPr id="5" name="矩形 5"/>
              <wp:cNvGraphicFramePr/>
              <a:graphic xmlns:a="http://schemas.openxmlformats.org/drawingml/2006/main">
                <a:graphicData uri="http://schemas.microsoft.com/office/word/2010/wordprocessingShape">
                  <wps:wsp>
                    <wps:cNvSpPr/>
                    <wps:spPr>
                      <a:xfrm>
                        <a:off x="0" y="0"/>
                        <a:ext cx="5710555" cy="9525"/>
                      </a:xfrm>
                      <a:prstGeom prst="rect">
                        <a:avLst/>
                      </a:prstGeom>
                      <a:solidFill>
                        <a:srgbClr val="7D3B05"/>
                      </a:solidFill>
                      <a:ln>
                        <a:noFill/>
                      </a:ln>
                    </wps:spPr>
                    <wps:bodyPr upright="1"/>
                  </wps:wsp>
                </a:graphicData>
              </a:graphic>
            </wp:anchor>
          </w:drawing>
        </mc:Choice>
        <mc:Fallback>
          <w:pict>
            <v:rect id="_x0000_s1026" o:spid="_x0000_s1026" o:spt="1" style="position:absolute;left:0pt;margin-left:72.85pt;margin-top:63.5pt;height:0.75pt;width:449.65pt;mso-position-horizontal-relative:page;mso-position-vertical-relative:page;z-index:251664384;mso-width-relative:page;mso-height-relative:page;" fillcolor="#7D3B05" filled="t" stroked="f" coordsize="21600,21600" o:allowincell="f" o:gfxdata="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einc9oAAAAMAQAADwAAAAAAAAABACAAAAAiAAAAZHJzL2Rvd25yZXYueG1sUEsBAhQAFAAAAAgA&#10;h07iQBY7iH+xAQAAXQMAAA4AAAAAAAAAAQAgAAAAKQEAAGRycy9lMm9Eb2MueG1sUEsFBgAAAAAG&#10;AAYAWQEAAEwFAAAAAA==&#10;">
              <v:path/>
              <v:fill on="t" focussize="0,0"/>
              <v:stroke on="f"/>
              <v:imagedata o:title=""/>
              <o:lock v:ext="edit"/>
            </v:rect>
          </w:pict>
        </mc:Fallback>
      </mc:AlternateContent>
    </w:r>
    <w:r>
      <w:drawing>
        <wp:anchor distT="0" distB="0" distL="0" distR="0" simplePos="0" relativeHeight="251665408" behindDoc="0" locked="0" layoutInCell="0" allowOverlap="1">
          <wp:simplePos x="0" y="0"/>
          <wp:positionH relativeFrom="page">
            <wp:posOffset>923290</wp:posOffset>
          </wp:positionH>
          <wp:positionV relativeFrom="page">
            <wp:posOffset>408305</wp:posOffset>
          </wp:positionV>
          <wp:extent cx="2124710" cy="414655"/>
          <wp:effectExtent l="0" t="0" r="8890" b="12065"/>
          <wp:wrapNone/>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1"/>
                  <a:stretch>
                    <a:fillRect/>
                  </a:stretch>
                </pic:blipFill>
                <pic:spPr>
                  <a:xfrm>
                    <a:off x="0" y="0"/>
                    <a:ext cx="2124455" cy="414527"/>
                  </a:xfrm>
                  <a:prstGeom prst="rect">
                    <a:avLst/>
                  </a:prstGeom>
                </pic:spPr>
              </pic:pic>
            </a:graphicData>
          </a:graphic>
        </wp:anchor>
      </w:drawing>
    </w:r>
    <w:r>
      <w:drawing>
        <wp:anchor distT="0" distB="0" distL="114300" distR="114300" simplePos="0" relativeHeight="251663360" behindDoc="1" locked="0" layoutInCell="0" allowOverlap="1">
          <wp:simplePos x="0" y="0"/>
          <wp:positionH relativeFrom="page">
            <wp:posOffset>1399540</wp:posOffset>
          </wp:positionH>
          <wp:positionV relativeFrom="page">
            <wp:posOffset>3039110</wp:posOffset>
          </wp:positionV>
          <wp:extent cx="4596765" cy="4605655"/>
          <wp:effectExtent l="0" t="0" r="5715" b="12065"/>
          <wp:wrapNone/>
          <wp:docPr id="3" name="WordPictureWatermar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4"/>
                  <pic:cNvPicPr>
                    <a:picLocks noChangeAspect="1"/>
                  </pic:cNvPicPr>
                </pic:nvPicPr>
                <pic:blipFill>
                  <a:blip r:embed="rId2"/>
                  <a:stretch>
                    <a:fillRect/>
                  </a:stretch>
                </pic:blipFill>
                <pic:spPr>
                  <a:xfrm>
                    <a:off x="0" y="0"/>
                    <a:ext cx="4596765" cy="4605655"/>
                  </a:xfrm>
                  <a:prstGeom prst="rect">
                    <a:avLst/>
                  </a:prstGeom>
                  <a:noFill/>
                  <a:ln>
                    <a:noFill/>
                  </a:ln>
                </pic:spPr>
              </pic:pic>
            </a:graphicData>
          </a:graphic>
        </wp:anchor>
      </w:drawing>
    </w:r>
    <w:r>
      <w:rPr>
        <w:rFonts w:ascii="仿宋" w:hAnsi="仿宋" w:eastAsia="仿宋" w:cs="仿宋"/>
        <w:color w:val="7D3B05"/>
        <w:spacing w:val="-6"/>
        <w:sz w:val="18"/>
        <w:szCs w:val="18"/>
      </w:rPr>
      <w:t>国际</w:t>
    </w:r>
    <w:r>
      <w:rPr>
        <w:rFonts w:hint="eastAsia" w:ascii="仿宋" w:hAnsi="仿宋" w:eastAsia="仿宋" w:cs="仿宋"/>
        <w:color w:val="7D3B05"/>
        <w:spacing w:val="-6"/>
        <w:sz w:val="18"/>
        <w:szCs w:val="18"/>
        <w:lang w:val="en-US" w:eastAsia="zh-CN"/>
      </w:rPr>
      <w:t>教育</w:t>
    </w:r>
    <w:r>
      <w:rPr>
        <w:rFonts w:ascii="仿宋" w:hAnsi="仿宋" w:eastAsia="仿宋" w:cs="仿宋"/>
        <w:color w:val="7D3B05"/>
        <w:spacing w:val="-6"/>
        <w:sz w:val="18"/>
        <w:szCs w:val="18"/>
      </w:rPr>
      <w:t>学院</w:t>
    </w:r>
    <w:bookmarkStart w:id="0" w:name="_GoBack"/>
    <w:bookmarkEnd w:id="0"/>
  </w:p>
  <w:p w14:paraId="10FF63E6">
    <w:pPr>
      <w:spacing w:before="27" w:line="209" w:lineRule="auto"/>
      <w:ind w:left="6250"/>
      <w:rPr>
        <w:rFonts w:hint="default" w:ascii="微软雅黑" w:hAnsi="微软雅黑" w:eastAsia="微软雅黑" w:cs="微软雅黑"/>
        <w:sz w:val="16"/>
        <w:szCs w:val="16"/>
        <w:lang w:val="en-US" w:eastAsia="zh-CN"/>
      </w:rPr>
    </w:pPr>
    <w:r>
      <w:rPr>
        <w:rFonts w:ascii="微软雅黑" w:hAnsi="微软雅黑" w:eastAsia="微软雅黑" w:cs="微软雅黑"/>
        <w:color w:val="7D3B05"/>
        <w:spacing w:val="-2"/>
        <w:sz w:val="16"/>
        <w:szCs w:val="16"/>
      </w:rPr>
      <w:t>School</w:t>
    </w:r>
    <w:r>
      <w:rPr>
        <w:rFonts w:hint="eastAsia" w:ascii="微软雅黑" w:hAnsi="微软雅黑" w:eastAsia="微软雅黑" w:cs="微软雅黑"/>
        <w:color w:val="7D3B05"/>
        <w:spacing w:val="-2"/>
        <w:sz w:val="16"/>
        <w:szCs w:val="16"/>
        <w:lang w:val="en-US" w:eastAsia="zh-CN"/>
      </w:rPr>
      <w:t xml:space="preserve"> of International Education</w:t>
    </w:r>
  </w:p>
  <w:p w14:paraId="3908D86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characterSpacingControl w:val="doNotCompress"/>
  <w:hdrShapeDefaults>
    <o:shapelayout v:ext="edit">
      <o:idmap v:ext="edit" data="1"/>
    </o:shapelayout>
  </w:hdrShapeDefaults>
  <w:compat>
    <w:spaceForUL/>
    <w:ulTrailSpace/>
    <w:useFELayout/>
    <w:compatSetting w:name="compatibilityMode" w:uri="http://schemas.microsoft.com/office/word" w:val="14"/>
  </w:compat>
  <w:docVars>
    <w:docVar w:name="commondata" w:val="eyJoZGlkIjoiYWRkMzdiZWY4ZjgxZjE2NjUzZWYxYzMyYWJkYThkOGQifQ=="/>
  </w:docVars>
  <w:rsids>
    <w:rsidRoot w:val="00303B47"/>
    <w:rsid w:val="000239C7"/>
    <w:rsid w:val="000706B0"/>
    <w:rsid w:val="000823BC"/>
    <w:rsid w:val="001E793E"/>
    <w:rsid w:val="00303B47"/>
    <w:rsid w:val="00417C0C"/>
    <w:rsid w:val="004667CF"/>
    <w:rsid w:val="004C39C4"/>
    <w:rsid w:val="005E1C9F"/>
    <w:rsid w:val="00671EB6"/>
    <w:rsid w:val="00677CD3"/>
    <w:rsid w:val="00732E5F"/>
    <w:rsid w:val="007D1676"/>
    <w:rsid w:val="008203FC"/>
    <w:rsid w:val="0084337A"/>
    <w:rsid w:val="008556BE"/>
    <w:rsid w:val="00885110"/>
    <w:rsid w:val="00910EF9"/>
    <w:rsid w:val="0099261A"/>
    <w:rsid w:val="009B6584"/>
    <w:rsid w:val="00A06848"/>
    <w:rsid w:val="00C06717"/>
    <w:rsid w:val="00CA1B30"/>
    <w:rsid w:val="00CB6CF4"/>
    <w:rsid w:val="00D23AC4"/>
    <w:rsid w:val="00E73AF3"/>
    <w:rsid w:val="00E75B9D"/>
    <w:rsid w:val="04E5001B"/>
    <w:rsid w:val="053C16DE"/>
    <w:rsid w:val="0C713DFD"/>
    <w:rsid w:val="0C9A09D7"/>
    <w:rsid w:val="0FFE0897"/>
    <w:rsid w:val="11D93FB8"/>
    <w:rsid w:val="12FF7028"/>
    <w:rsid w:val="17CD4535"/>
    <w:rsid w:val="1B8A1536"/>
    <w:rsid w:val="1E663FF6"/>
    <w:rsid w:val="216A4A61"/>
    <w:rsid w:val="2492046F"/>
    <w:rsid w:val="253326DD"/>
    <w:rsid w:val="2AEA48E9"/>
    <w:rsid w:val="32E75E2A"/>
    <w:rsid w:val="3CFC24D2"/>
    <w:rsid w:val="3D892B30"/>
    <w:rsid w:val="3D974170"/>
    <w:rsid w:val="3EB032A8"/>
    <w:rsid w:val="44ED72D0"/>
    <w:rsid w:val="46F72D6A"/>
    <w:rsid w:val="4D5657A6"/>
    <w:rsid w:val="53365A78"/>
    <w:rsid w:val="56530970"/>
    <w:rsid w:val="57D911B5"/>
    <w:rsid w:val="5AD27DF0"/>
    <w:rsid w:val="5DBE6894"/>
    <w:rsid w:val="61905107"/>
    <w:rsid w:val="66077C65"/>
    <w:rsid w:val="69C2047C"/>
    <w:rsid w:val="6B0A1A3F"/>
    <w:rsid w:val="76D37A56"/>
    <w:rsid w:val="78451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1026"/>
    <customShpInfo spid="_x0000_s2059"/>
    <customShpInfo spid="_x0000_s2058"/>
    <customShpInfo spid="_x0000_s2057"/>
    <customShpInfo spid="_x0000_s2056"/>
    <customShpInfo spid="_x0000_s2055"/>
    <customShpInfo spid="_x0000_s205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6D7237-5D4A-4F08-B06C-F0C565133DA4}">
  <ds:schemaRefs/>
</ds:datastoreItem>
</file>

<file path=docProps/app.xml><?xml version="1.0" encoding="utf-8"?>
<Properties xmlns="http://schemas.openxmlformats.org/officeDocument/2006/extended-properties" xmlns:vt="http://schemas.openxmlformats.org/officeDocument/2006/docPropsVTypes">
  <Template>Normal</Template>
  <Pages>3</Pages>
  <Words>2097</Words>
  <Characters>2434</Characters>
  <Lines>20</Lines>
  <Paragraphs>5</Paragraphs>
  <TotalTime>1</TotalTime>
  <ScaleCrop>false</ScaleCrop>
  <LinksUpToDate>false</LinksUpToDate>
  <CharactersWithSpaces>2492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2023-09-14T08:43:00Z</dcterms:created>
  <dc:creator>USER</dc:creator>
  <cp:lastModifiedBy>周楠</cp:lastModifiedBy>
  <cp:lastPrinted>2024-07-11T00:13:00Z</cp:lastPrinted>
  <dcterms:modified xsi:type="dcterms:W3CDTF">2025-09-01T08:01:54Z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2023-10-13T10:46:25Z</vt:filetime>
  </property>
  <property fmtid="{D5CDD505-2E9C-101B-9397-08002B2CF9AE}" pid="4" name="KSOProductBuildVer">
    <vt:lpwstr>2052-12.1.0.21541</vt:lpwstr>
  </property>
  <property fmtid="{D5CDD505-2E9C-101B-9397-08002B2CF9AE}" pid="5" name="ICV">
    <vt:lpwstr>984BC6AD51E34DD38605C79A71DBA4FA_13</vt:lpwstr>
  </property>
  <property fmtid="{D5CDD505-2E9C-101B-9397-08002B2CF9AE}" pid="6" name="KSOTemplateDocerSaveRecord">
    <vt:lpwstr>eyJoZGlkIjoiNTZlZjc2ZjFkOTQ3MmQ1MmU4Zjg5NTQxNTA4YTdlYzUiLCJ1c2VySWQiOiIxNTM0NzY3MDcyIn0=</vt:lpwstr>
  </property>
</Properties>
</file>